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78F1F">
      <w:pPr>
        <w:spacing w:before="120" w:after="120" w:line="360" w:lineRule="auto"/>
        <w:ind w:firstLine="300" w:firstLineChars="100"/>
        <w:rPr>
          <w:rFonts w:hint="default" w:asciiTheme="majorEastAsia" w:hAnsiTheme="majorEastAsia" w:eastAsiaTheme="majorEastAsia"/>
          <w:bCs/>
          <w:color w:val="auto"/>
          <w:spacing w:val="10"/>
          <w:sz w:val="28"/>
          <w:szCs w:val="28"/>
          <w:lang w:val="en-US" w:eastAsia="zh-CN"/>
        </w:rPr>
      </w:pPr>
      <w:r>
        <w:rPr>
          <w:rFonts w:hint="eastAsia" w:asciiTheme="majorEastAsia" w:hAnsiTheme="majorEastAsia" w:eastAsiaTheme="majorEastAsia"/>
          <w:bCs/>
          <w:color w:val="auto"/>
          <w:spacing w:val="10"/>
          <w:sz w:val="28"/>
          <w:szCs w:val="28"/>
        </w:rPr>
        <w:t>合同编号：</w:t>
      </w:r>
    </w:p>
    <w:p w14:paraId="10619411">
      <w:pPr>
        <w:jc w:val="center"/>
        <w:rPr>
          <w:rFonts w:asciiTheme="minorHAnsi" w:hAnsiTheme="minorHAnsi" w:eastAsiaTheme="minorEastAsia" w:cstheme="minorBidi"/>
          <w:b/>
          <w:bCs/>
          <w:color w:val="auto"/>
          <w:sz w:val="72"/>
          <w:szCs w:val="144"/>
        </w:rPr>
      </w:pPr>
    </w:p>
    <w:p w14:paraId="60D7B576">
      <w:pPr>
        <w:jc w:val="center"/>
        <w:rPr>
          <w:rFonts w:asciiTheme="minorHAnsi" w:hAnsiTheme="minorHAnsi" w:eastAsiaTheme="minorEastAsia" w:cstheme="minorBidi"/>
          <w:b/>
          <w:bCs/>
          <w:color w:val="auto"/>
          <w:sz w:val="72"/>
          <w:szCs w:val="144"/>
        </w:rPr>
      </w:pPr>
    </w:p>
    <w:p w14:paraId="5A37B382">
      <w:pPr>
        <w:jc w:val="center"/>
        <w:rPr>
          <w:rFonts w:asciiTheme="minorHAnsi" w:hAnsiTheme="minorHAnsi" w:eastAsiaTheme="minorEastAsia" w:cstheme="minorBidi"/>
          <w:b/>
          <w:bCs/>
          <w:color w:val="auto"/>
          <w:sz w:val="72"/>
          <w:szCs w:val="144"/>
        </w:rPr>
      </w:pPr>
      <w:r>
        <w:rPr>
          <w:rFonts w:hint="eastAsia" w:asciiTheme="minorHAnsi" w:hAnsiTheme="minorHAnsi" w:eastAsiaTheme="minorEastAsia" w:cstheme="minorBidi"/>
          <w:b/>
          <w:bCs/>
          <w:color w:val="auto"/>
          <w:sz w:val="72"/>
          <w:szCs w:val="144"/>
        </w:rPr>
        <w:t>钧恒广场2号楼</w:t>
      </w:r>
    </w:p>
    <w:p w14:paraId="51F9B0E4">
      <w:pPr>
        <w:jc w:val="center"/>
        <w:rPr>
          <w:rFonts w:hint="eastAsia" w:asciiTheme="minorHAnsi" w:hAnsiTheme="minorHAnsi" w:eastAsiaTheme="minorEastAsia" w:cstheme="minorBidi"/>
          <w:color w:val="auto"/>
          <w:lang w:val="en-US" w:eastAsia="zh-CN"/>
        </w:rPr>
      </w:pPr>
      <w:r>
        <w:rPr>
          <w:rFonts w:hint="eastAsia" w:asciiTheme="minorHAnsi" w:hAnsiTheme="minorHAnsi" w:eastAsiaTheme="minorEastAsia" w:cstheme="minorBidi"/>
          <w:b/>
          <w:bCs/>
          <w:color w:val="auto"/>
          <w:sz w:val="72"/>
          <w:szCs w:val="144"/>
          <w:u w:val="single"/>
          <w:lang w:val="en-US" w:eastAsia="zh-CN"/>
        </w:rPr>
        <w:t xml:space="preserve"> 7 </w:t>
      </w:r>
      <w:r>
        <w:rPr>
          <w:rFonts w:hint="eastAsia" w:asciiTheme="minorHAnsi" w:hAnsiTheme="minorHAnsi" w:eastAsiaTheme="minorEastAsia" w:cstheme="minorBidi"/>
          <w:b/>
          <w:bCs/>
          <w:color w:val="auto"/>
          <w:sz w:val="72"/>
          <w:szCs w:val="144"/>
        </w:rPr>
        <w:t>层合作协议</w:t>
      </w:r>
    </w:p>
    <w:p w14:paraId="0DDC36D3">
      <w:pPr>
        <w:spacing w:before="120" w:after="120" w:line="360" w:lineRule="auto"/>
        <w:rPr>
          <w:rFonts w:ascii="楷体" w:hAnsi="楷体" w:eastAsia="楷体"/>
          <w:b/>
          <w:color w:val="auto"/>
          <w:spacing w:val="10"/>
          <w:sz w:val="28"/>
        </w:rPr>
      </w:pPr>
    </w:p>
    <w:p w14:paraId="1BB1B4E1">
      <w:pPr>
        <w:spacing w:before="120" w:after="120" w:line="360" w:lineRule="auto"/>
        <w:rPr>
          <w:rFonts w:ascii="楷体" w:hAnsi="楷体" w:eastAsia="楷体"/>
          <w:b/>
          <w:color w:val="auto"/>
          <w:spacing w:val="10"/>
          <w:sz w:val="28"/>
        </w:rPr>
      </w:pPr>
    </w:p>
    <w:p w14:paraId="7E6DF8AF">
      <w:pPr>
        <w:spacing w:before="120" w:after="120" w:line="360" w:lineRule="auto"/>
        <w:rPr>
          <w:rFonts w:ascii="楷体" w:hAnsi="楷体" w:eastAsia="楷体"/>
          <w:b/>
          <w:color w:val="auto"/>
          <w:spacing w:val="10"/>
          <w:sz w:val="28"/>
        </w:rPr>
      </w:pPr>
    </w:p>
    <w:p w14:paraId="588382EF">
      <w:pPr>
        <w:spacing w:before="120" w:after="120" w:line="360" w:lineRule="auto"/>
        <w:rPr>
          <w:rFonts w:ascii="楷体" w:hAnsi="楷体" w:eastAsia="楷体"/>
          <w:b/>
          <w:color w:val="auto"/>
          <w:spacing w:val="10"/>
          <w:sz w:val="28"/>
        </w:rPr>
      </w:pPr>
    </w:p>
    <w:p w14:paraId="574132F0">
      <w:pPr>
        <w:rPr>
          <w:rFonts w:ascii="仿宋" w:hAnsi="仿宋" w:eastAsia="仿宋" w:cs="仿宋"/>
          <w:color w:val="auto"/>
          <w:sz w:val="32"/>
          <w:szCs w:val="32"/>
        </w:rPr>
      </w:pPr>
    </w:p>
    <w:p w14:paraId="529D21C2">
      <w:pPr>
        <w:rPr>
          <w:rFonts w:ascii="仿宋" w:hAnsi="仿宋" w:eastAsia="仿宋" w:cs="仿宋"/>
          <w:color w:val="auto"/>
          <w:sz w:val="32"/>
          <w:szCs w:val="32"/>
        </w:rPr>
      </w:pPr>
    </w:p>
    <w:p w14:paraId="5244C51A">
      <w:pPr>
        <w:rPr>
          <w:rFonts w:ascii="仿宋" w:hAnsi="仿宋" w:eastAsia="仿宋" w:cs="仿宋"/>
          <w:color w:val="auto"/>
          <w:sz w:val="32"/>
          <w:szCs w:val="32"/>
        </w:rPr>
      </w:pPr>
    </w:p>
    <w:p w14:paraId="1CD842C4">
      <w:pPr>
        <w:rPr>
          <w:rFonts w:ascii="仿宋" w:hAnsi="仿宋" w:eastAsia="仿宋" w:cs="仿宋"/>
          <w:color w:val="auto"/>
          <w:sz w:val="32"/>
          <w:szCs w:val="32"/>
        </w:rPr>
      </w:pPr>
    </w:p>
    <w:p w14:paraId="671D0626">
      <w:pPr>
        <w:rPr>
          <w:rFonts w:ascii="仿宋" w:hAnsi="仿宋" w:eastAsia="仿宋" w:cs="仿宋"/>
          <w:color w:val="auto"/>
          <w:sz w:val="32"/>
          <w:szCs w:val="32"/>
        </w:rPr>
      </w:pPr>
    </w:p>
    <w:p w14:paraId="435F9CEA">
      <w:pPr>
        <w:rPr>
          <w:rFonts w:ascii="仿宋" w:hAnsi="仿宋" w:eastAsia="仿宋" w:cs="仿宋"/>
          <w:color w:val="auto"/>
          <w:sz w:val="32"/>
          <w:szCs w:val="32"/>
        </w:rPr>
      </w:pPr>
    </w:p>
    <w:p w14:paraId="3886EE36">
      <w:pPr>
        <w:rPr>
          <w:rFonts w:ascii="仿宋" w:hAnsi="仿宋" w:eastAsia="仿宋" w:cs="仿宋"/>
          <w:color w:val="auto"/>
          <w:sz w:val="32"/>
          <w:szCs w:val="32"/>
        </w:rPr>
        <w:sectPr>
          <w:pgSz w:w="11906" w:h="16838"/>
          <w:pgMar w:top="1440" w:right="1418" w:bottom="1440" w:left="1531" w:header="851" w:footer="992" w:gutter="0"/>
          <w:cols w:space="425" w:num="1"/>
          <w:docGrid w:type="lines" w:linePitch="312" w:charSpace="0"/>
        </w:sectPr>
      </w:pPr>
    </w:p>
    <w:p w14:paraId="0473146A">
      <w:pPr>
        <w:spacing w:before="120" w:after="120" w:line="360" w:lineRule="auto"/>
        <w:rPr>
          <w:rFonts w:asciiTheme="majorEastAsia" w:hAnsiTheme="majorEastAsia" w:eastAsiaTheme="majorEastAsia"/>
          <w:b/>
          <w:color w:val="auto"/>
          <w:spacing w:val="10"/>
          <w:sz w:val="52"/>
          <w:szCs w:val="52"/>
        </w:rPr>
        <w:sectPr>
          <w:footerReference r:id="rId3" w:type="default"/>
          <w:pgSz w:w="11906" w:h="16838"/>
          <w:pgMar w:top="1440" w:right="1418" w:bottom="1440" w:left="1531" w:header="851" w:footer="992" w:gutter="0"/>
          <w:pgNumType w:start="1"/>
          <w:cols w:space="425" w:num="1"/>
          <w:docGrid w:type="lines" w:linePitch="312" w:charSpace="0"/>
        </w:sectPr>
      </w:pPr>
    </w:p>
    <w:p w14:paraId="2A9F92BC">
      <w:pPr>
        <w:spacing w:line="360" w:lineRule="auto"/>
        <w:rPr>
          <w:rFonts w:ascii="FangSong_GB2312" w:hAnsi="宋体" w:eastAsia="FangSong_GB2312"/>
          <w:b/>
          <w:color w:val="auto"/>
          <w:sz w:val="24"/>
        </w:rPr>
      </w:pPr>
    </w:p>
    <w:p w14:paraId="240B38CF">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甲方：广州高新生物产业服务集团有限公司</w:t>
      </w:r>
    </w:p>
    <w:p w14:paraId="139C2291">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统一社会信用代码：914401015818755099</w:t>
      </w:r>
    </w:p>
    <w:p w14:paraId="2D894DDC">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代 表 人：</w:t>
      </w:r>
      <w:r>
        <w:rPr>
          <w:rFonts w:hint="eastAsia" w:asciiTheme="minorEastAsia" w:hAnsiTheme="minorEastAsia" w:eastAsiaTheme="minorEastAsia"/>
          <w:bCs/>
          <w:color w:val="auto"/>
          <w:sz w:val="28"/>
          <w:szCs w:val="28"/>
          <w:lang w:val="en-US" w:eastAsia="zh-CN"/>
        </w:rPr>
        <w:t>曾玮</w:t>
      </w:r>
    </w:p>
    <w:p w14:paraId="31041593">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地  址：广州市黄埔区开泰大道182号503房</w:t>
      </w:r>
    </w:p>
    <w:p w14:paraId="44C5123C">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 xml:space="preserve">联  系  电  话：020-82000903    </w:t>
      </w:r>
    </w:p>
    <w:p w14:paraId="0F7A3BDC">
      <w:pPr>
        <w:spacing w:line="560" w:lineRule="exact"/>
        <w:ind w:firstLine="560" w:firstLineChars="200"/>
        <w:rPr>
          <w:rFonts w:asciiTheme="minorEastAsia" w:hAnsiTheme="minorEastAsia" w:eastAsiaTheme="minorEastAsia"/>
          <w:bCs/>
          <w:color w:val="auto"/>
          <w:sz w:val="28"/>
          <w:szCs w:val="28"/>
        </w:rPr>
      </w:pPr>
    </w:p>
    <w:p w14:paraId="1F6DC1EA">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乙方：</w:t>
      </w:r>
    </w:p>
    <w:p w14:paraId="7613B7C8">
      <w:pPr>
        <w:spacing w:line="560" w:lineRule="exact"/>
        <w:ind w:firstLine="560" w:firstLineChars="200"/>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统一社会信用代码：</w:t>
      </w:r>
    </w:p>
    <w:p w14:paraId="01FADB35">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代 表 人：</w:t>
      </w:r>
    </w:p>
    <w:p w14:paraId="61B94E1A">
      <w:pPr>
        <w:spacing w:line="560" w:lineRule="exact"/>
        <w:ind w:left="559" w:leftChars="266" w:firstLine="0" w:firstLineChars="0"/>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地  址：</w:t>
      </w:r>
    </w:p>
    <w:p w14:paraId="61ED2AFE">
      <w:pPr>
        <w:spacing w:line="560" w:lineRule="exact"/>
        <w:ind w:left="559" w:leftChars="266" w:firstLine="0" w:firstLineChars="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联  系  电  话：</w:t>
      </w:r>
    </w:p>
    <w:p w14:paraId="536EE6FF">
      <w:pPr>
        <w:spacing w:line="560" w:lineRule="exact"/>
        <w:ind w:firstLine="560" w:firstLineChars="200"/>
        <w:rPr>
          <w:rFonts w:asciiTheme="minorEastAsia" w:hAnsiTheme="minorEastAsia" w:eastAsiaTheme="minorEastAsia"/>
          <w:color w:val="auto"/>
          <w:sz w:val="28"/>
          <w:szCs w:val="28"/>
        </w:rPr>
      </w:pPr>
    </w:p>
    <w:p w14:paraId="28045105">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鉴于：</w:t>
      </w:r>
    </w:p>
    <w:p w14:paraId="12253D4F">
      <w:pPr>
        <w:spacing w:line="560" w:lineRule="exact"/>
        <w:ind w:firstLine="560" w:firstLineChars="200"/>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1、甲方是广州市黄埔区开泰大道</w:t>
      </w:r>
      <w:r>
        <w:rPr>
          <w:rFonts w:hint="eastAsia" w:asciiTheme="minorEastAsia" w:hAnsiTheme="minorEastAsia" w:eastAsiaTheme="minorEastAsia"/>
          <w:color w:val="auto"/>
          <w:sz w:val="28"/>
          <w:szCs w:val="28"/>
          <w:u w:val="single"/>
        </w:rPr>
        <w:t xml:space="preserve"> 186号钧恒广场2号楼的运营方，有权出租该物业。</w:t>
      </w:r>
    </w:p>
    <w:p w14:paraId="32124840">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u w:val="single"/>
        </w:rPr>
        <w:t>2、乙方拥有具备丰富的办公室装修经验，其设计团队能够根据小型办公室特点和招商定位，打造出功能完善、布局合理且美观的办公空间。</w:t>
      </w:r>
    </w:p>
    <w:p w14:paraId="2444E6E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根据《中华人民共和国民法典》及相关法律法规的规定，甲、乙双方在平等、自愿、互利的原则上，经友好协商，就甲乙双方于</w:t>
      </w:r>
      <w:r>
        <w:rPr>
          <w:rFonts w:hint="eastAsia" w:asciiTheme="minorEastAsia" w:hAnsiTheme="minorEastAsia" w:eastAsiaTheme="minorEastAsia"/>
          <w:color w:val="auto"/>
          <w:sz w:val="28"/>
          <w:szCs w:val="28"/>
          <w:u w:val="single"/>
        </w:rPr>
        <w:t>钧恒广场2号楼</w:t>
      </w:r>
      <w:r>
        <w:rPr>
          <w:rFonts w:hint="eastAsia" w:asciiTheme="minorEastAsia" w:hAnsiTheme="minorEastAsia" w:eastAsiaTheme="minorEastAsia"/>
          <w:color w:val="auto"/>
          <w:sz w:val="28"/>
          <w:szCs w:val="28"/>
          <w:u w:val="single"/>
          <w:lang w:val="en-US" w:eastAsia="zh-CN"/>
        </w:rPr>
        <w:t>7</w:t>
      </w:r>
      <w:r>
        <w:rPr>
          <w:rFonts w:hint="eastAsia" w:asciiTheme="minorEastAsia" w:hAnsiTheme="minorEastAsia" w:eastAsiaTheme="minorEastAsia"/>
          <w:color w:val="auto"/>
          <w:sz w:val="28"/>
          <w:szCs w:val="28"/>
          <w:u w:val="single"/>
        </w:rPr>
        <w:t>层</w:t>
      </w:r>
      <w:r>
        <w:rPr>
          <w:rFonts w:hint="eastAsia" w:asciiTheme="minorEastAsia" w:hAnsiTheme="minorEastAsia" w:eastAsiaTheme="minorEastAsia"/>
          <w:color w:val="auto"/>
          <w:sz w:val="28"/>
          <w:szCs w:val="28"/>
        </w:rPr>
        <w:t>的合作事宜协商一致，特订立本协议，以资共同遵守。</w:t>
      </w:r>
    </w:p>
    <w:p w14:paraId="41050316">
      <w:pPr>
        <w:spacing w:before="156" w:beforeLines="50" w:line="560" w:lineRule="exact"/>
        <w:ind w:firstLine="562" w:firstLineChars="200"/>
        <w:jc w:val="left"/>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第一条 合作物业基本情况</w:t>
      </w:r>
    </w:p>
    <w:p w14:paraId="43D86983">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1.1合作物业所在园区名称：钧恒广场2号楼。</w:t>
      </w:r>
    </w:p>
    <w:p w14:paraId="61EA2A6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1.2合作物业位置：</w:t>
      </w:r>
      <w:r>
        <w:rPr>
          <w:rFonts w:hint="eastAsia" w:asciiTheme="minorEastAsia" w:hAnsiTheme="minorEastAsia" w:eastAsiaTheme="minorEastAsia"/>
          <w:color w:val="auto"/>
          <w:sz w:val="28"/>
          <w:szCs w:val="28"/>
          <w:u w:val="single"/>
        </w:rPr>
        <w:t>广州市黄埔区开泰大道186号第</w:t>
      </w:r>
      <w:r>
        <w:rPr>
          <w:rFonts w:hint="eastAsia" w:asciiTheme="minorEastAsia" w:hAnsiTheme="minorEastAsia" w:eastAsiaTheme="minorEastAsia"/>
          <w:color w:val="auto"/>
          <w:sz w:val="28"/>
          <w:szCs w:val="28"/>
          <w:u w:val="single"/>
          <w:lang w:val="en-US" w:eastAsia="zh-CN"/>
        </w:rPr>
        <w:t>7</w:t>
      </w:r>
      <w:r>
        <w:rPr>
          <w:rFonts w:hint="eastAsia" w:asciiTheme="minorEastAsia" w:hAnsiTheme="minorEastAsia" w:eastAsiaTheme="minorEastAsia"/>
          <w:color w:val="auto"/>
          <w:sz w:val="28"/>
          <w:szCs w:val="28"/>
          <w:u w:val="single"/>
        </w:rPr>
        <w:t>层</w:t>
      </w:r>
      <w:r>
        <w:rPr>
          <w:rFonts w:hint="eastAsia" w:asciiTheme="minorEastAsia" w:hAnsiTheme="minorEastAsia" w:eastAsiaTheme="minorEastAsia"/>
          <w:color w:val="auto"/>
          <w:sz w:val="28"/>
          <w:szCs w:val="28"/>
        </w:rPr>
        <w:t>，建筑面积</w:t>
      </w:r>
      <w:r>
        <w:rPr>
          <w:rFonts w:hint="eastAsia" w:asciiTheme="minorEastAsia" w:hAnsiTheme="minorEastAsia" w:eastAsiaTheme="minorEastAsia"/>
          <w:color w:val="auto"/>
          <w:sz w:val="28"/>
          <w:szCs w:val="28"/>
          <w:u w:val="single"/>
        </w:rPr>
        <w:t>1700.0239</w:t>
      </w:r>
      <w:r>
        <w:rPr>
          <w:rFonts w:hint="eastAsia" w:asciiTheme="minorEastAsia" w:hAnsiTheme="minorEastAsia" w:eastAsiaTheme="minorEastAsia"/>
          <w:color w:val="auto"/>
          <w:sz w:val="28"/>
          <w:szCs w:val="28"/>
        </w:rPr>
        <w:t>平方米（建筑面积如与最终测绘面积有差异的，双方应以最终实际测绘面积为准），合作物业目前处于公区精装、室内毛胚状态。</w:t>
      </w:r>
    </w:p>
    <w:p w14:paraId="35ADF098">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1.3合作物业所在园区物业管理公司：广州高新物业服务有限公司。</w:t>
      </w:r>
    </w:p>
    <w:p w14:paraId="6E34DB01">
      <w:pPr>
        <w:spacing w:line="560" w:lineRule="exact"/>
        <w:ind w:firstLine="560" w:firstLineChars="200"/>
        <w:rPr>
          <w:rFonts w:cs="黑体" w:asciiTheme="minorEastAsia" w:hAnsiTheme="minorEastAsia" w:eastAsiaTheme="minorEastAsia"/>
          <w:b/>
          <w:color w:val="auto"/>
          <w:sz w:val="28"/>
          <w:szCs w:val="28"/>
        </w:rPr>
      </w:pPr>
      <w:r>
        <w:rPr>
          <w:rFonts w:hint="eastAsia" w:asciiTheme="minorEastAsia" w:hAnsiTheme="minorEastAsia" w:eastAsiaTheme="minorEastAsia"/>
          <w:color w:val="auto"/>
          <w:sz w:val="28"/>
          <w:szCs w:val="28"/>
        </w:rPr>
        <w:t>1.4合作物业用途：办公、经营（开展相关经营活动），未经甲方书面同意，乙方在合作过程中不得擅自改变合作物业的用途。</w:t>
      </w:r>
    </w:p>
    <w:p w14:paraId="66E0B209">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第二条 合作模式及付款方式</w:t>
      </w:r>
    </w:p>
    <w:p w14:paraId="44C91E38">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 xml:space="preserve"> 甲方是合作物业的运营方，负责合作物业的招租及出租运营；乙方向合作物业投入不低于</w:t>
      </w:r>
      <w:r>
        <w:rPr>
          <w:rFonts w:hint="eastAsia" w:asciiTheme="minorEastAsia" w:hAnsiTheme="minorEastAsia" w:eastAsiaTheme="minorEastAsia"/>
          <w:color w:val="auto"/>
          <w:sz w:val="28"/>
          <w:szCs w:val="28"/>
          <w:lang w:val="en-US" w:eastAsia="zh-CN"/>
        </w:rPr>
        <w:t>140</w:t>
      </w:r>
      <w:r>
        <w:rPr>
          <w:rFonts w:hint="eastAsia" w:asciiTheme="minorEastAsia" w:hAnsiTheme="minorEastAsia" w:eastAsiaTheme="minorEastAsia"/>
          <w:color w:val="auto"/>
          <w:sz w:val="28"/>
          <w:szCs w:val="28"/>
        </w:rPr>
        <w:t>万元的装修款，并提供相应金额的工程造价及物品价格明细表作为本协议附件。双方在签订《合作协议》后需要提供平面布置图，装修效果图、装修成本台账及部分支付凭证等资料，装修设计及效果需要甲方事先确认，合作物业装修并出租后，甲方以合作物业实际收到的租金，按月与乙方结算费用。在合作期间，乙方应积极配合合作物业的招租工作。</w:t>
      </w:r>
    </w:p>
    <w:p w14:paraId="1D153E1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2.2合作期限：自</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日，合作年限</w:t>
      </w:r>
      <w:r>
        <w:rPr>
          <w:rFonts w:hint="eastAsia" w:asciiTheme="minorEastAsia" w:hAnsiTheme="minorEastAsia" w:eastAsiaTheme="minorEastAsia"/>
          <w:color w:val="auto"/>
          <w:sz w:val="28"/>
          <w:szCs w:val="28"/>
          <w:u w:val="single"/>
        </w:rPr>
        <w:t>10</w:t>
      </w:r>
      <w:r>
        <w:rPr>
          <w:rFonts w:hint="eastAsia" w:asciiTheme="minorEastAsia" w:hAnsiTheme="minorEastAsia" w:eastAsiaTheme="minorEastAsia"/>
          <w:color w:val="auto"/>
          <w:sz w:val="28"/>
          <w:szCs w:val="28"/>
        </w:rPr>
        <w:t>年，如因政策影响或不可抗力因素等需要提前结束或延长合作期限需经双方另行协商并订立书面协议。</w:t>
      </w:r>
    </w:p>
    <w:p w14:paraId="29A2512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2.3在甲乙双方就设计规划达成一致后，乙方以自有资金一次性投资设计及装修成本费用，并负责对</w:t>
      </w:r>
      <w:r>
        <w:rPr>
          <w:rFonts w:hint="eastAsia" w:asciiTheme="minorEastAsia" w:hAnsiTheme="minorEastAsia" w:eastAsiaTheme="minorEastAsia"/>
          <w:color w:val="auto"/>
          <w:sz w:val="28"/>
          <w:szCs w:val="28"/>
          <w:u w:val="single"/>
        </w:rPr>
        <w:t>广州市黄埔区开泰大道186号第</w:t>
      </w:r>
      <w:r>
        <w:rPr>
          <w:rFonts w:hint="eastAsia" w:asciiTheme="minorEastAsia" w:hAnsiTheme="minorEastAsia" w:eastAsiaTheme="minorEastAsia"/>
          <w:color w:val="auto"/>
          <w:sz w:val="28"/>
          <w:szCs w:val="28"/>
          <w:u w:val="single"/>
          <w:lang w:val="en-US" w:eastAsia="zh-CN"/>
        </w:rPr>
        <w:t>7</w:t>
      </w:r>
      <w:bookmarkStart w:id="0" w:name="_GoBack"/>
      <w:bookmarkEnd w:id="0"/>
      <w:r>
        <w:rPr>
          <w:rFonts w:hint="eastAsia" w:asciiTheme="minorEastAsia" w:hAnsiTheme="minorEastAsia" w:eastAsiaTheme="minorEastAsia"/>
          <w:color w:val="auto"/>
          <w:sz w:val="28"/>
          <w:szCs w:val="28"/>
          <w:u w:val="single"/>
        </w:rPr>
        <w:t>层整层</w:t>
      </w:r>
      <w:r>
        <w:rPr>
          <w:rFonts w:hint="eastAsia" w:asciiTheme="minorEastAsia" w:hAnsiTheme="minorEastAsia" w:eastAsiaTheme="minorEastAsia"/>
          <w:color w:val="auto"/>
          <w:sz w:val="28"/>
          <w:szCs w:val="28"/>
        </w:rPr>
        <w:t>进行装修，不包含办公</w:t>
      </w:r>
      <w:r>
        <w:rPr>
          <w:rFonts w:hint="eastAsia" w:asciiTheme="minorEastAsia" w:hAnsiTheme="minorEastAsia" w:eastAsiaTheme="minorEastAsia"/>
          <w:color w:val="auto"/>
          <w:sz w:val="28"/>
          <w:szCs w:val="28"/>
          <w:lang w:val="en-US" w:eastAsia="zh-CN"/>
        </w:rPr>
        <w:t>家具</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lang w:val="en-US" w:eastAsia="zh-CN"/>
        </w:rPr>
        <w:t>公区配套设施</w:t>
      </w:r>
      <w:r>
        <w:rPr>
          <w:rFonts w:hint="eastAsia" w:asciiTheme="minorEastAsia" w:hAnsiTheme="minorEastAsia" w:eastAsiaTheme="minorEastAsia"/>
          <w:color w:val="auto"/>
          <w:sz w:val="28"/>
          <w:szCs w:val="28"/>
        </w:rPr>
        <w:t>除外），包括但不限于设计、施工、采购装修材料等，并确保装修工程符合相关质量标准和时间要求，为第三方客户提供拎包入住的装修服务条件。</w:t>
      </w:r>
    </w:p>
    <w:p w14:paraId="688CEF6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2.4乙方以收取工程管理服务费模式获得收益，在甲方与第三方签订租赁合同后，自租赁合同约定的起租月（不含免租期内）开始计算服务费用，具体标准为：</w:t>
      </w:r>
    </w:p>
    <w:p w14:paraId="1426276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（1）根据甲方与第三方签订租赁合同中约定租赁期限的第</w:t>
      </w:r>
      <w:r>
        <w:rPr>
          <w:rFonts w:hint="eastAsia" w:asciiTheme="minorEastAsia" w:hAnsiTheme="minorEastAsia" w:eastAsiaTheme="minorEastAsia"/>
          <w:color w:val="auto"/>
          <w:sz w:val="28"/>
          <w:szCs w:val="28"/>
          <w:u w:val="single"/>
        </w:rPr>
        <w:t>1、2、3</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日），按照</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元/月/平方米单价计算服务费用；</w:t>
      </w:r>
    </w:p>
    <w:p w14:paraId="0FC4EC5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（2）根据甲方与第三方签订租赁合同中约定租赁期限的第</w:t>
      </w:r>
      <w:r>
        <w:rPr>
          <w:rFonts w:hint="eastAsia" w:asciiTheme="minorEastAsia" w:hAnsiTheme="minorEastAsia" w:eastAsiaTheme="minorEastAsia"/>
          <w:color w:val="auto"/>
          <w:sz w:val="28"/>
          <w:szCs w:val="28"/>
          <w:u w:val="single"/>
        </w:rPr>
        <w:t>4、5、6</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日），按照</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元/月/平方米单价计算服务费用；</w:t>
      </w:r>
    </w:p>
    <w:p w14:paraId="2B42624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（3）根据甲方与第三方签订租赁合同中约定租赁期限的第</w:t>
      </w:r>
      <w:r>
        <w:rPr>
          <w:rFonts w:hint="eastAsia" w:asciiTheme="minorEastAsia" w:hAnsiTheme="minorEastAsia" w:eastAsiaTheme="minorEastAsia"/>
          <w:color w:val="auto"/>
          <w:sz w:val="28"/>
          <w:szCs w:val="28"/>
          <w:u w:val="single"/>
        </w:rPr>
        <w:t>7、8、9、10</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日），按照</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元/月/平方米单价计算服务费用。</w:t>
      </w:r>
    </w:p>
    <w:p w14:paraId="6F60437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（4）每月结算金额=甲方每月实际收到的租金对应的面积*对应的单价。</w:t>
      </w:r>
    </w:p>
    <w:p w14:paraId="577D7854">
      <w:pPr>
        <w:spacing w:line="560" w:lineRule="exact"/>
        <w:ind w:firstLine="840" w:firstLineChars="3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注：合作期限第</w:t>
      </w:r>
      <w:r>
        <w:rPr>
          <w:rFonts w:hint="eastAsia" w:asciiTheme="minorEastAsia" w:hAnsiTheme="minorEastAsia" w:eastAsiaTheme="minorEastAsia"/>
          <w:color w:val="auto"/>
          <w:sz w:val="28"/>
          <w:szCs w:val="28"/>
          <w:lang w:val="en-US" w:eastAsia="zh-CN"/>
        </w:rPr>
        <w:t>三</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日起，根据钧恒广场最新评估价格以及实际出租环境等情况，双方可协商调整计算费用单价并签订书面补充协议。</w:t>
      </w:r>
    </w:p>
    <w:p w14:paraId="265246E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5</w:t>
      </w:r>
      <w:r>
        <w:rPr>
          <w:rFonts w:hint="eastAsia" w:asciiTheme="minorEastAsia" w:hAnsiTheme="minorEastAsia" w:eastAsiaTheme="minorEastAsia"/>
          <w:color w:val="auto"/>
          <w:sz w:val="28"/>
          <w:szCs w:val="28"/>
        </w:rPr>
        <w:t>结算及支付：合作物业装修并出租后，甲方以合作物业实际收到的租金，按月与乙方结算费用。甲方在每月5日前（如遇节假日则顺延止工作日）将合作物业上月的租金收取情况（台账）告知乙方，乙方按甲方确认的服务费金额向甲方提交合作费用结算申请单并附上等额有效的增值税发票，甲方在收到符合要求的发票后15个工作日内以转账的形式支付上月服务费给乙方。</w:t>
      </w:r>
      <w:r>
        <w:rPr>
          <w:rFonts w:hint="eastAsia" w:ascii="宋体" w:hAnsi="宋体" w:cs="宋体"/>
          <w:bCs/>
          <w:color w:val="auto"/>
          <w:sz w:val="28"/>
          <w:szCs w:val="28"/>
        </w:rPr>
        <w:t>若乙方未提供符合要求的发票的，甲方有权延迟付款，且无需承担任何违约责任。</w:t>
      </w:r>
    </w:p>
    <w:p w14:paraId="7B03F6E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6</w:t>
      </w:r>
      <w:r>
        <w:rPr>
          <w:rFonts w:hint="eastAsia" w:asciiTheme="minorEastAsia" w:hAnsiTheme="minorEastAsia" w:eastAsiaTheme="minorEastAsia"/>
          <w:color w:val="auto"/>
          <w:sz w:val="28"/>
          <w:szCs w:val="28"/>
        </w:rPr>
        <w:t>乙方收款账户信息</w:t>
      </w:r>
    </w:p>
    <w:p w14:paraId="6A43354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户  名：</w:t>
      </w:r>
    </w:p>
    <w:p w14:paraId="3ECB5032">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开户行：</w:t>
      </w:r>
    </w:p>
    <w:p w14:paraId="0B27AEE0">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账  号：</w:t>
      </w:r>
    </w:p>
    <w:p w14:paraId="5C3D12B2">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第三条 合作物业交付</w:t>
      </w:r>
    </w:p>
    <w:p w14:paraId="5A2A75B8">
      <w:pPr>
        <w:spacing w:line="56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3.1</w:t>
      </w:r>
      <w:r>
        <w:rPr>
          <w:rFonts w:hint="eastAsia" w:asciiTheme="minorEastAsia" w:hAnsiTheme="minorEastAsia" w:eastAsiaTheme="minorEastAsia"/>
          <w:color w:val="auto"/>
          <w:sz w:val="28"/>
          <w:szCs w:val="28"/>
        </w:rPr>
        <w:t>甲方依约将物业按现状交付给乙方装修使用，并确保物业的合法性和可用性，乙方同意按场地移交时的现状予以接受，并签署《房屋交接单》，如乙方拒绝签收的，甲方通知的日期即视为合作物业交付的日期。合作物业移交给乙方后，合作物业产生的风险和安全责任由乙方负责。</w:t>
      </w:r>
    </w:p>
    <w:p w14:paraId="5CB5B63F">
      <w:pPr>
        <w:spacing w:line="56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3.2</w:t>
      </w:r>
      <w:r>
        <w:rPr>
          <w:rFonts w:hint="eastAsia" w:cs="Times New Roman" w:asciiTheme="minorEastAsia" w:hAnsiTheme="minorEastAsia" w:eastAsiaTheme="minorEastAsia"/>
          <w:i w:val="0"/>
          <w:iCs w:val="0"/>
          <w:caps w:val="0"/>
          <w:color w:val="auto"/>
          <w:spacing w:val="0"/>
          <w:sz w:val="28"/>
          <w:szCs w:val="28"/>
          <w:shd w:val="clear"/>
        </w:rPr>
        <w:t>甲方依约将物业按现状交付给乙方后，乙方应在</w:t>
      </w:r>
      <w:r>
        <w:rPr>
          <w:rFonts w:hint="eastAsia" w:cs="Times New Roman" w:asciiTheme="minorEastAsia" w:hAnsiTheme="minorEastAsia" w:eastAsiaTheme="minorEastAsia"/>
          <w:b w:val="0"/>
          <w:bCs w:val="0"/>
          <w:i w:val="0"/>
          <w:iCs w:val="0"/>
          <w:caps w:val="0"/>
          <w:color w:val="auto"/>
          <w:spacing w:val="0"/>
          <w:sz w:val="28"/>
          <w:szCs w:val="28"/>
          <w:shd w:val="clear"/>
        </w:rPr>
        <w:t>55个自然日内</w:t>
      </w:r>
      <w:r>
        <w:rPr>
          <w:rFonts w:hint="eastAsia" w:cs="Times New Roman" w:asciiTheme="minorEastAsia" w:hAnsiTheme="minorEastAsia" w:eastAsiaTheme="minorEastAsia"/>
          <w:i w:val="0"/>
          <w:iCs w:val="0"/>
          <w:caps w:val="0"/>
          <w:color w:val="auto"/>
          <w:spacing w:val="0"/>
          <w:sz w:val="28"/>
          <w:szCs w:val="28"/>
          <w:shd w:val="clear"/>
        </w:rPr>
        <w:t>完成合作物业的装修工程（包含设计、施工等环节）</w:t>
      </w:r>
      <w:r>
        <w:rPr>
          <w:rFonts w:hint="eastAsia" w:cs="Times New Roman" w:asciiTheme="minorEastAsia" w:hAnsiTheme="minorEastAsia" w:eastAsiaTheme="minorEastAsia"/>
          <w:i w:val="0"/>
          <w:iCs w:val="0"/>
          <w:caps w:val="0"/>
          <w:color w:val="auto"/>
          <w:spacing w:val="0"/>
          <w:sz w:val="28"/>
          <w:szCs w:val="28"/>
          <w:shd w:val="clear"/>
          <w:lang w:eastAsia="zh-CN"/>
        </w:rPr>
        <w:t>，</w:t>
      </w:r>
      <w:r>
        <w:rPr>
          <w:rFonts w:hint="eastAsia" w:cs="Times New Roman" w:asciiTheme="minorEastAsia" w:hAnsiTheme="minorEastAsia" w:eastAsiaTheme="minorEastAsia"/>
          <w:i w:val="0"/>
          <w:iCs w:val="0"/>
          <w:caps w:val="0"/>
          <w:color w:val="auto"/>
          <w:spacing w:val="0"/>
          <w:sz w:val="28"/>
          <w:szCs w:val="28"/>
          <w:shd w:val="clear"/>
        </w:rPr>
        <w:t>确保装修成果满足本协议约定的质量标准及拎包入住条件，经甲方书面确认后，双方签署《装修交付确认单》，正式移交合作物业用于招商招租。</w:t>
      </w:r>
    </w:p>
    <w:p w14:paraId="00A07AB6">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第四条 甲方权利义务</w:t>
      </w:r>
    </w:p>
    <w:p w14:paraId="12C4ACB8">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w:t>
      </w:r>
      <w:r>
        <w:rPr>
          <w:rFonts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依约将合作物业及相关设施设备按本协议约定交付给乙方使用。乙方签署房屋交接单或按本协议约定视为交付物业后，甲方即完成物业交付义务，合作物业交付后，乙方承担合作物业的风险及安全。</w:t>
      </w:r>
    </w:p>
    <w:p w14:paraId="75A7E67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4.2负责对合作物业、公共设施设备进行定期安全检查，</w:t>
      </w:r>
      <w:r>
        <w:rPr>
          <w:rFonts w:hint="eastAsia" w:cs="Arial" w:asciiTheme="minorEastAsia" w:hAnsiTheme="minorEastAsia" w:eastAsiaTheme="minorEastAsia"/>
          <w:color w:val="auto"/>
          <w:sz w:val="28"/>
          <w:szCs w:val="28"/>
        </w:rPr>
        <w:t>负责和承担房屋主体结构自然损坏的维修及由此产生的维修费用。非房屋主体结构的维修及由此产生的维修费用由乙方负责和承担。</w:t>
      </w:r>
      <w:r>
        <w:rPr>
          <w:rFonts w:hint="eastAsia" w:asciiTheme="minorEastAsia" w:hAnsiTheme="minorEastAsia" w:eastAsiaTheme="minorEastAsia"/>
          <w:color w:val="auto"/>
          <w:sz w:val="28"/>
          <w:szCs w:val="28"/>
        </w:rPr>
        <w:t>如甲方因合作物业安全原因导致合作物业需要维修且乙方必须搬离合作物业的，乙方应配合搬离本合作物业。</w:t>
      </w:r>
    </w:p>
    <w:p w14:paraId="2B81EE1F">
      <w:pPr>
        <w:spacing w:line="560" w:lineRule="exact"/>
        <w:ind w:firstLine="560" w:firstLineChars="200"/>
        <w:rPr>
          <w:rFonts w:asciiTheme="minorEastAsia" w:hAnsiTheme="minorEastAsia" w:eastAsiaTheme="minorEastAsia"/>
          <w:color w:val="auto"/>
          <w:sz w:val="28"/>
          <w:szCs w:val="28"/>
          <w:highlight w:val="magenta"/>
        </w:rPr>
      </w:pPr>
      <w:r>
        <w:rPr>
          <w:rFonts w:hint="eastAsia" w:asciiTheme="minorEastAsia" w:hAnsiTheme="minorEastAsia" w:eastAsiaTheme="minorEastAsia"/>
          <w:color w:val="auto"/>
          <w:sz w:val="28"/>
          <w:szCs w:val="28"/>
        </w:rPr>
        <w:t>4.3甲方有权在合作物业的共用部位张贴、悬挂、安装招牌或广告宣传物，而无需征得乙方同意。</w:t>
      </w:r>
    </w:p>
    <w:p w14:paraId="06F1E746">
      <w:pPr>
        <w:spacing w:line="560" w:lineRule="exact"/>
        <w:ind w:firstLine="560" w:firstLineChars="200"/>
        <w:rPr>
          <w:rFonts w:asciiTheme="minorEastAsia" w:hAnsiTheme="minorEastAsia" w:eastAsiaTheme="minorEastAsia"/>
          <w:color w:val="auto"/>
          <w:sz w:val="28"/>
          <w:szCs w:val="28"/>
          <w:highlight w:val="magenta"/>
        </w:rPr>
      </w:pPr>
      <w:r>
        <w:rPr>
          <w:rFonts w:hint="eastAsia" w:asciiTheme="minorEastAsia" w:hAnsiTheme="minorEastAsia" w:eastAsiaTheme="minorEastAsia"/>
          <w:color w:val="auto"/>
          <w:sz w:val="28"/>
          <w:szCs w:val="28"/>
        </w:rPr>
        <w:t>4.4甲方有权将本协议的权利义务、合作物业的权益全部（或部分）抵押（或出售），包括以信托或其他方式转让给任何第三方，而无需事先通知乙方或征询乙方的意见。乙方在此声明放弃任何法律赋予乙方购买本物业的优先权利，并同意接受和配合办理协议主体变更等一切相关手续。</w:t>
      </w:r>
    </w:p>
    <w:p w14:paraId="171BF490">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4.5负责与第三方客户签订租赁合同，并及时将租赁信息告知乙方。</w:t>
      </w:r>
    </w:p>
    <w:p w14:paraId="5F808992">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4.6有权对乙方的装修工程进行监督和提出合理建议，确保装修质量和风格符合市场需求。</w:t>
      </w:r>
    </w:p>
    <w:p w14:paraId="1E9B9520">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第五条 乙方权利义务</w:t>
      </w:r>
    </w:p>
    <w:p w14:paraId="6A739D41">
      <w:pPr>
        <w:spacing w:line="560" w:lineRule="exact"/>
        <w:ind w:firstLine="560" w:firstLineChars="200"/>
        <w:rPr>
          <w:rFonts w:asciiTheme="minorEastAsia" w:hAnsiTheme="minorEastAsia"/>
          <w:color w:val="auto"/>
          <w:sz w:val="28"/>
          <w:szCs w:val="28"/>
        </w:rPr>
      </w:pPr>
      <w:r>
        <w:rPr>
          <w:rFonts w:hint="eastAsia" w:asciiTheme="minorEastAsia" w:hAnsiTheme="minorEastAsia" w:eastAsiaTheme="minorEastAsia"/>
          <w:color w:val="auto"/>
          <w:sz w:val="28"/>
          <w:szCs w:val="28"/>
        </w:rPr>
        <w:t>5.1 乙方经营行为应当严格遵守国家的相关法律法规、行业规范，如发生非法经营或触犯刑事犯罪且被公安机关立案的，由乙方承担一切法律责任及经济责任，同时，</w:t>
      </w:r>
      <w:r>
        <w:rPr>
          <w:rFonts w:hint="eastAsia" w:ascii="宋体" w:hAnsi="宋体"/>
          <w:color w:val="auto"/>
          <w:sz w:val="28"/>
          <w:szCs w:val="28"/>
        </w:rPr>
        <w:t>甲方有权解除协议并要求依法承担全部损失赔偿责任。</w:t>
      </w:r>
    </w:p>
    <w:p w14:paraId="1D0EB83B">
      <w:pPr>
        <w:pStyle w:val="17"/>
        <w:spacing w:line="560" w:lineRule="exact"/>
        <w:ind w:firstLine="56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5.2乙方在与甲方签订本协议时，应与物业公司一并签订《装修手册》、《装修协议等》，并严格按照国家省、市、区相关法律法规以及相关施工规定，办理房屋装修的报批报备手续。乙方需要对合作物业进行扩建、加建、改建、装饰装修或增加大型设施设备的，应提前将方案提交甲方及甲方聘请的第三方初审，在取得甲方书面同意后，按有关规定办理消防和环评等相关行政手续后方可施工。施工过程中，甲方或由甲方委托的物业服务企业有权对施工过程进行监督检查，责令改正违法、违规、违约行为。</w:t>
      </w:r>
    </w:p>
    <w:p w14:paraId="3FC3121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5.3乙方未经甲方书面同意，擅自对房屋进行扩建、加建、改建、装饰装修或增加大型设施设备的，或者在施工过程中有违法、违规、违约行为的，甲方有权解除协议，收回合作物业，并有权要求乙方承担违约责任以及赔偿由此造成的一切损失。</w:t>
      </w:r>
    </w:p>
    <w:p w14:paraId="117CFD1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5.4 合作期限内，乙方负责合作物业的维修维护（包括但不限于合作物业翻新、批荡、裂缝处理、漏水维修处理等）的义务和产生费用，因此产生的费用已经包含在甲方支付给乙方的服务费里面，甲方无需再向乙方支付合作物业的维修维护费用。出现需要维修事项的，乙方应按甲方通知的时间和要求完成合作物业的维修维护并交付给甲方。若乙方在收到甲方书面通知后的15个工作日内未开始维修工作，或者维修完成后物业未能达到以下可出租条件：结构安全稳固、设施功能完善且能正常使用、内外环境干净整洁、无安全隐患且符合相关法律法规及行业标准，则视为乙方违约，甲方有权不予支付剩余合作期限内的全部服务费。自甲方第一次通知后，逾期超过两个月，并经甲方催告后仍达不到甲方的可出租条件的，甲方有权提前终止本协议，并追究乙方的违约责任，造成甲方其他损失的，乙方还应负责全额赔偿。</w:t>
      </w:r>
    </w:p>
    <w:p w14:paraId="573C478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5.5</w:t>
      </w:r>
      <w:r>
        <w:rPr>
          <w:rFonts w:hint="eastAsia" w:cs="Arial" w:asciiTheme="minorEastAsia" w:hAnsiTheme="minorEastAsia" w:eastAsiaTheme="minorEastAsia"/>
          <w:color w:val="auto"/>
          <w:sz w:val="28"/>
          <w:szCs w:val="28"/>
        </w:rPr>
        <w:t>乙方要</w:t>
      </w:r>
      <w:r>
        <w:rPr>
          <w:rFonts w:hint="eastAsia" w:asciiTheme="minorEastAsia" w:hAnsiTheme="minorEastAsia" w:eastAsiaTheme="minorEastAsia"/>
          <w:color w:val="auto"/>
          <w:sz w:val="28"/>
          <w:szCs w:val="28"/>
        </w:rPr>
        <w:t>保护和正常使用合作物业及配套设施设备，发现房屋主体结构及其公共配套设施设备出现自然损坏，应及时通知甲方并积极配合甲方检查和维修。若因乙方过错致使维修延误的，由乙方自行承担相关维修责任，若因此造成人身伤亡、财产损失的，乙方应予赔偿，因此导致甲方损失的，乙方应赔偿全部损失；如因乙方使用不当或者人为造成房屋及配套设施设备损坏的，乙方应负责修复或赔偿。此外，乙方应当对合作物业添加物、附着物自行负责维修维护并承担相关责任。</w:t>
      </w:r>
    </w:p>
    <w:p w14:paraId="5BC707A6">
      <w:pPr>
        <w:spacing w:line="560" w:lineRule="exact"/>
        <w:ind w:left="19" w:leftChars="9" w:firstLine="537" w:firstLineChars="192"/>
        <w:rPr>
          <w:rFonts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5.</w:t>
      </w:r>
      <w:r>
        <w:rPr>
          <w:rFonts w:hint="eastAsia" w:cs="宋体" w:asciiTheme="minorEastAsia" w:hAnsiTheme="minorEastAsia" w:eastAsiaTheme="minorEastAsia"/>
          <w:color w:val="auto"/>
          <w:sz w:val="28"/>
          <w:szCs w:val="28"/>
          <w:lang w:val="en-US" w:eastAsia="zh-CN"/>
        </w:rPr>
        <w:t>6</w:t>
      </w:r>
      <w:r>
        <w:rPr>
          <w:rFonts w:hint="eastAsia" w:cs="宋体" w:asciiTheme="minorEastAsia" w:hAnsiTheme="minorEastAsia" w:eastAsiaTheme="minorEastAsia"/>
          <w:color w:val="auto"/>
          <w:sz w:val="28"/>
          <w:szCs w:val="28"/>
        </w:rPr>
        <w:t>本物业水电容量按原设计标准提供。</w:t>
      </w:r>
      <w:r>
        <w:rPr>
          <w:rFonts w:hint="eastAsia" w:asciiTheme="minorEastAsia" w:hAnsiTheme="minorEastAsia" w:eastAsiaTheme="minorEastAsia"/>
          <w:color w:val="auto"/>
          <w:sz w:val="28"/>
          <w:szCs w:val="28"/>
        </w:rPr>
        <w:t>乙方在合作物业内需要安装或者使用超过水、电表容量的任何设备，应事先征得甲方书面同意，并配合甲方前往有关单位、部门办理增容手续，相关费用由乙方承担。</w:t>
      </w:r>
    </w:p>
    <w:p w14:paraId="0D491571">
      <w:pPr>
        <w:spacing w:line="56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7</w:t>
      </w:r>
      <w:r>
        <w:rPr>
          <w:rFonts w:hint="eastAsia" w:asciiTheme="minorEastAsia" w:hAnsiTheme="minorEastAsia" w:eastAsiaTheme="minorEastAsia"/>
          <w:color w:val="auto"/>
          <w:sz w:val="28"/>
          <w:szCs w:val="28"/>
        </w:rPr>
        <w:t>乙方在使用合作物业过程中，需确保安全生产和消防安全，不得在房屋内非法生产和存放有毒、有害、易燃、易爆等危险物品。若有违反，视为乙方违约，并承担因此造成的一切责任和后果，对甲方造成损失的，应当赔偿甲方全部损失。</w:t>
      </w:r>
    </w:p>
    <w:p w14:paraId="4D3294C1">
      <w:pPr>
        <w:spacing w:line="560" w:lineRule="exact"/>
        <w:ind w:firstLine="560" w:firstLineChars="200"/>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5.8乙方在使用合作物业过程中，</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须全面落实工程维稳责任，严格管控施工管理、安全隐患、劳资纠纷及周边环境影响等风险，建立健全相关预防、监测与应急处置机制</w:t>
      </w:r>
      <w:r>
        <w:rPr>
          <w:rFonts w:hint="eastAsia" w:cs="Times New Roman" w:asciiTheme="minorEastAsia" w:hAnsiTheme="minorEastAsia" w:eastAsiaTheme="minorEastAsia"/>
          <w:i w:val="0"/>
          <w:iCs w:val="0"/>
          <w:caps w:val="0"/>
          <w:color w:val="000000" w:themeColor="text1"/>
          <w:spacing w:val="0"/>
          <w:sz w:val="28"/>
          <w:szCs w:val="28"/>
          <w:highlight w:val="none"/>
          <w:shd w:val="clear"/>
          <w:lang w:eastAsia="zh-CN"/>
          <w14:textFill>
            <w14:solidFill>
              <w14:schemeClr w14:val="tx1"/>
            </w14:solidFill>
          </w14:textFill>
        </w:rPr>
        <w:t>，</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杜绝停工、群体</w:t>
      </w:r>
      <w:r>
        <w:rPr>
          <w:rFonts w:hint="eastAsia" w:cs="Times New Roman" w:asciiTheme="minorEastAsia" w:hAnsiTheme="minorEastAsia" w:eastAsiaTheme="minorEastAsia"/>
          <w:i w:val="0"/>
          <w:iCs w:val="0"/>
          <w:caps w:val="0"/>
          <w:color w:val="000000" w:themeColor="text1"/>
          <w:spacing w:val="0"/>
          <w:sz w:val="28"/>
          <w:szCs w:val="28"/>
          <w:highlight w:val="none"/>
          <w:shd w:val="clear"/>
          <w:lang w:val="en-US" w:eastAsia="zh-CN"/>
          <w14:textFill>
            <w14:solidFill>
              <w14:schemeClr w14:val="tx1"/>
            </w14:solidFill>
          </w14:textFill>
        </w:rPr>
        <w:t>性</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事件及负面舆情发生，确保工程安全有序推进及物业按时交付</w:t>
      </w:r>
      <w:r>
        <w:rPr>
          <w:rFonts w:hint="eastAsia" w:cs="Times New Roman" w:asciiTheme="minorEastAsia" w:hAnsiTheme="minorEastAsia" w:eastAsiaTheme="minorEastAsia"/>
          <w:i w:val="0"/>
          <w:iCs w:val="0"/>
          <w:caps w:val="0"/>
          <w:color w:val="000000" w:themeColor="text1"/>
          <w:spacing w:val="0"/>
          <w:sz w:val="28"/>
          <w:szCs w:val="28"/>
          <w:highlight w:val="none"/>
          <w:shd w:val="clear"/>
          <w:lang w:val="en-US" w:eastAsia="zh-CN"/>
          <w14:textFill>
            <w14:solidFill>
              <w14:schemeClr w14:val="tx1"/>
            </w14:solidFill>
          </w14:textFill>
        </w:rPr>
        <w:t>与正常</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运营</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若出现违反本条约定的任何情形，甲方有权要求乙方限期整改；若乙方未在限期内完成整改或整改不符合要求的，则视为乙方违约，并承担因此造成的一切法律责任、行政责任、经济责任及社会不良影响等全部责任和后果，对甲方造成损失的，乙方应当赔偿甲方全部损失。</w:t>
      </w:r>
    </w:p>
    <w:p w14:paraId="08A814C6">
      <w:pPr>
        <w:spacing w:line="560" w:lineRule="exact"/>
        <w:ind w:firstLine="560" w:firstLineChars="200"/>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Times New Roman" w:asciiTheme="minorEastAsia" w:hAnsiTheme="minorEastAsia" w:eastAsiaTheme="minorEastAsia"/>
          <w:i w:val="0"/>
          <w:iCs w:val="0"/>
          <w:caps w:val="0"/>
          <w:color w:val="000000" w:themeColor="text1"/>
          <w:spacing w:val="0"/>
          <w:sz w:val="28"/>
          <w:szCs w:val="28"/>
          <w:highlight w:val="none"/>
          <w:shd w:val="clear"/>
          <w:lang w:val="en-US" w:eastAsia="zh-CN"/>
          <w14:textFill>
            <w14:solidFill>
              <w14:schemeClr w14:val="tx1"/>
            </w14:solidFill>
          </w14:textFill>
        </w:rPr>
        <w:t>5.9</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乙方在合作物业施工及维护运营过程中，须严格履行施工安全生产责任，遵守安全生产、消防等相关法规。乙方应按规定配备必要的安全防护设施，并定期进行维护检修，及时发现并消除施工及维护过程中的安全隐患。若因乙方原因引发安全事故（包括但不限于造成人员伤亡、财产损失、火灾爆炸、环境污染等）或导致</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甲方</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受到相关行政处罚的，乙方须承担</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由此产生的</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全部责任及后果，并对甲方</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遭受的</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损失全额赔偿。甲方有权</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随时对乙方的安全生产状况</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监督检查，</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若发现</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违规行为或安全隐患，有权要求乙方限期整改；对于情节严重或拒不整改的，甲方有权解除本协议。</w:t>
      </w:r>
    </w:p>
    <w:p w14:paraId="4AB77AA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10</w:t>
      </w:r>
      <w:r>
        <w:rPr>
          <w:rFonts w:hint="eastAsia" w:asciiTheme="minorEastAsia" w:hAnsiTheme="minorEastAsia" w:eastAsiaTheme="minorEastAsia"/>
          <w:color w:val="auto"/>
          <w:sz w:val="28"/>
          <w:szCs w:val="28"/>
        </w:rPr>
        <w:t>乙方应严格按照本协议约定使用合作物业，未经甲方书面同意不得改变房屋用途。如乙方擅自改变合作物业用途的，甲方可单方解除协议。</w:t>
      </w:r>
    </w:p>
    <w:p w14:paraId="45EB9BB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11</w:t>
      </w:r>
      <w:r>
        <w:rPr>
          <w:rFonts w:hint="eastAsia" w:asciiTheme="minorEastAsia" w:hAnsiTheme="minorEastAsia" w:eastAsiaTheme="minorEastAsia"/>
          <w:color w:val="auto"/>
          <w:sz w:val="28"/>
          <w:szCs w:val="28"/>
        </w:rPr>
        <w:t>合作期内，乙方欲提前解除协议的，应提前三个月向甲方书面提出申请，并征得甲方书面同意后，按甲方要求的时间办理退租手续。</w:t>
      </w:r>
    </w:p>
    <w:p w14:paraId="75068AD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12</w:t>
      </w:r>
      <w:r>
        <w:rPr>
          <w:rFonts w:hint="eastAsia" w:asciiTheme="minorEastAsia" w:hAnsiTheme="minorEastAsia" w:eastAsiaTheme="minorEastAsia"/>
          <w:color w:val="auto"/>
          <w:sz w:val="28"/>
          <w:szCs w:val="28"/>
        </w:rPr>
        <w:t>合作期间，乙方须按《中华人民共和国环境保护法》及污染物排放相关法律法规的要求自行处理或者按照甲方统一管理方式处理生产、研发所产生的液体、固体、气体废弃物，并自行负责相关环保许可手续的办理。乙方若存在未按相关法规处理液体、固体、气体废弃物的行为或由此造成环境污染的，须自行承担所有法律责任，甲方对此不承担任何责任。若由此致使甲方承担法律责任的，甲方有权要求乙方承担相应法律责任。</w:t>
      </w:r>
    </w:p>
    <w:p w14:paraId="2B18497A">
      <w:pPr>
        <w:spacing w:line="560" w:lineRule="exact"/>
        <w:ind w:firstLine="560" w:firstLineChars="200"/>
        <w:rPr>
          <w:rFonts w:asciiTheme="minorEastAsia" w:hAnsiTheme="minorEastAsia" w:eastAsiaTheme="minorEastAsia"/>
          <w:color w:val="auto"/>
          <w:sz w:val="28"/>
          <w:szCs w:val="28"/>
        </w:rPr>
      </w:pPr>
    </w:p>
    <w:p w14:paraId="41C7400C">
      <w:pPr>
        <w:spacing w:line="560" w:lineRule="exact"/>
        <w:ind w:firstLine="562" w:firstLineChars="200"/>
        <w:rPr>
          <w:rFonts w:ascii="宋体" w:hAnsi="宋体"/>
          <w:color w:val="auto"/>
          <w:sz w:val="28"/>
          <w:szCs w:val="28"/>
        </w:rPr>
      </w:pPr>
      <w:r>
        <w:rPr>
          <w:rFonts w:hint="eastAsia" w:cs="黑体" w:asciiTheme="minorEastAsia" w:hAnsiTheme="minorEastAsia" w:eastAsiaTheme="minorEastAsia"/>
          <w:b/>
          <w:color w:val="auto"/>
          <w:sz w:val="28"/>
          <w:szCs w:val="28"/>
        </w:rPr>
        <w:t>第六条 违约责任</w:t>
      </w:r>
    </w:p>
    <w:p w14:paraId="2ABBD4C4">
      <w:pPr>
        <w:spacing w:line="560" w:lineRule="exact"/>
        <w:ind w:firstLine="560" w:firstLineChars="200"/>
        <w:rPr>
          <w:rFonts w:ascii="宋体" w:hAnsi="宋体"/>
          <w:color w:val="auto"/>
          <w:sz w:val="28"/>
          <w:szCs w:val="28"/>
        </w:rPr>
      </w:pPr>
      <w:r>
        <w:rPr>
          <w:rFonts w:hint="eastAsia" w:ascii="宋体" w:hAnsi="宋体"/>
          <w:color w:val="auto"/>
          <w:sz w:val="28"/>
          <w:szCs w:val="28"/>
        </w:rPr>
        <w:t>6.1 甲方有以下行为之一的，乙方有权解除协议：</w:t>
      </w:r>
    </w:p>
    <w:p w14:paraId="2D33E766">
      <w:pPr>
        <w:spacing w:line="560" w:lineRule="exact"/>
        <w:ind w:firstLine="560" w:firstLineChars="200"/>
        <w:rPr>
          <w:rFonts w:ascii="宋体" w:hAnsi="宋体"/>
          <w:color w:val="auto"/>
          <w:sz w:val="28"/>
          <w:szCs w:val="28"/>
        </w:rPr>
      </w:pPr>
      <w:r>
        <w:rPr>
          <w:rFonts w:hint="eastAsia" w:ascii="宋体" w:hAnsi="宋体"/>
          <w:color w:val="auto"/>
          <w:sz w:val="28"/>
          <w:szCs w:val="28"/>
        </w:rPr>
        <w:t>（1）甲方明确无法提供合作物业；</w:t>
      </w:r>
    </w:p>
    <w:p w14:paraId="440F9378">
      <w:pPr>
        <w:spacing w:line="560" w:lineRule="exact"/>
        <w:ind w:firstLine="560" w:firstLineChars="200"/>
        <w:rPr>
          <w:rFonts w:ascii="宋体" w:hAnsi="宋体"/>
          <w:color w:val="auto"/>
          <w:sz w:val="28"/>
          <w:szCs w:val="28"/>
        </w:rPr>
      </w:pPr>
      <w:r>
        <w:rPr>
          <w:rFonts w:hint="eastAsia" w:ascii="宋体" w:hAnsi="宋体"/>
          <w:color w:val="auto"/>
          <w:sz w:val="28"/>
          <w:szCs w:val="28"/>
        </w:rPr>
        <w:t>（2）甲方未尽合作物业主体结构修缮义务，严重影响安全使用的。</w:t>
      </w:r>
    </w:p>
    <w:p w14:paraId="1DEF79ED">
      <w:pPr>
        <w:spacing w:line="560" w:lineRule="exact"/>
        <w:ind w:firstLine="560" w:firstLineChars="200"/>
        <w:rPr>
          <w:rFonts w:ascii="宋体" w:hAnsi="宋体"/>
          <w:color w:val="auto"/>
          <w:sz w:val="28"/>
          <w:szCs w:val="28"/>
          <w:highlight w:val="magenta"/>
        </w:rPr>
      </w:pPr>
      <w:r>
        <w:rPr>
          <w:rFonts w:hint="eastAsia" w:ascii="宋体" w:hAnsi="宋体"/>
          <w:color w:val="auto"/>
          <w:sz w:val="28"/>
          <w:szCs w:val="28"/>
        </w:rPr>
        <w:t>6.</w:t>
      </w:r>
      <w:r>
        <w:rPr>
          <w:rFonts w:ascii="宋体" w:hAnsi="宋体"/>
          <w:color w:val="auto"/>
          <w:sz w:val="28"/>
          <w:szCs w:val="28"/>
        </w:rPr>
        <w:t>2</w:t>
      </w:r>
      <w:r>
        <w:rPr>
          <w:rFonts w:hint="eastAsia" w:ascii="宋体" w:hAnsi="宋体"/>
          <w:color w:val="auto"/>
          <w:sz w:val="28"/>
          <w:szCs w:val="28"/>
        </w:rPr>
        <w:t>合作期间，乙方有下列行为之一的，甲方有权单方解除协议，收回物业</w:t>
      </w:r>
      <w:r>
        <w:rPr>
          <w:rFonts w:hint="eastAsia" w:asciiTheme="minorEastAsia" w:hAnsiTheme="minorEastAsia" w:eastAsiaTheme="minorEastAsia"/>
          <w:color w:val="auto"/>
          <w:sz w:val="28"/>
          <w:szCs w:val="28"/>
        </w:rPr>
        <w:t>：</w:t>
      </w:r>
    </w:p>
    <w:p w14:paraId="33EC8459">
      <w:pPr>
        <w:spacing w:line="560" w:lineRule="exact"/>
        <w:ind w:firstLine="560" w:firstLineChars="200"/>
        <w:rPr>
          <w:rFonts w:ascii="宋体" w:hAnsi="宋体"/>
          <w:color w:val="auto"/>
          <w:sz w:val="28"/>
          <w:szCs w:val="28"/>
        </w:rPr>
      </w:pPr>
      <w:r>
        <w:rPr>
          <w:rFonts w:hint="eastAsia" w:ascii="宋体" w:hAnsi="宋体"/>
          <w:color w:val="auto"/>
          <w:sz w:val="28"/>
          <w:szCs w:val="28"/>
        </w:rPr>
        <w:t>（1）未经甲方书面同意，拆改变动合作物业主体结构；</w:t>
      </w:r>
    </w:p>
    <w:p w14:paraId="4BC88A85">
      <w:pPr>
        <w:spacing w:line="560" w:lineRule="exact"/>
        <w:ind w:firstLine="560" w:firstLineChars="200"/>
        <w:rPr>
          <w:rFonts w:ascii="宋体" w:hAnsi="宋体"/>
          <w:color w:val="auto"/>
          <w:sz w:val="28"/>
          <w:szCs w:val="28"/>
        </w:rPr>
      </w:pPr>
      <w:r>
        <w:rPr>
          <w:rFonts w:hint="eastAsia" w:ascii="宋体" w:hAnsi="宋体"/>
          <w:color w:val="auto"/>
          <w:sz w:val="28"/>
          <w:szCs w:val="28"/>
        </w:rPr>
        <w:t>（2）未经甲方书面同意，改变本协议约定的合作物业用途；</w:t>
      </w:r>
    </w:p>
    <w:p w14:paraId="0FFA33C4">
      <w:pPr>
        <w:spacing w:line="560" w:lineRule="exact"/>
        <w:ind w:firstLine="560" w:firstLineChars="200"/>
        <w:rPr>
          <w:rFonts w:ascii="宋体" w:hAnsi="宋体"/>
          <w:color w:val="auto"/>
          <w:sz w:val="28"/>
          <w:szCs w:val="28"/>
        </w:rPr>
      </w:pPr>
      <w:r>
        <w:rPr>
          <w:rFonts w:hint="eastAsia" w:ascii="宋体" w:hAnsi="宋体"/>
          <w:color w:val="auto"/>
          <w:sz w:val="28"/>
          <w:szCs w:val="28"/>
        </w:rPr>
        <w:t>（3）利用合作物业存放危险物品或进行违法活动；</w:t>
      </w:r>
    </w:p>
    <w:p w14:paraId="61308980">
      <w:pPr>
        <w:spacing w:line="560" w:lineRule="exact"/>
        <w:ind w:firstLine="560" w:firstLineChars="200"/>
        <w:rPr>
          <w:rFonts w:ascii="宋体" w:hAnsi="宋体"/>
          <w:color w:val="auto"/>
          <w:sz w:val="28"/>
          <w:szCs w:val="28"/>
        </w:rPr>
      </w:pPr>
      <w:r>
        <w:rPr>
          <w:rFonts w:hint="eastAsia" w:ascii="宋体" w:hAnsi="宋体"/>
          <w:color w:val="auto"/>
          <w:sz w:val="28"/>
          <w:szCs w:val="28"/>
        </w:rPr>
        <w:t>（4）本协议约定的其他乙方违约行为。</w:t>
      </w:r>
    </w:p>
    <w:p w14:paraId="1925B17B">
      <w:pPr>
        <w:spacing w:line="520" w:lineRule="exact"/>
        <w:ind w:firstLine="555" w:firstLineChars="0"/>
        <w:rPr>
          <w:rFonts w:ascii="宋体" w:hAnsi="宋体" w:cs="宋体"/>
          <w:color w:val="auto"/>
          <w:sz w:val="28"/>
          <w:szCs w:val="28"/>
        </w:rPr>
      </w:pPr>
      <w:r>
        <w:rPr>
          <w:rFonts w:ascii="宋体" w:hAnsi="宋体" w:cs="宋体"/>
          <w:color w:val="auto"/>
          <w:sz w:val="28"/>
          <w:szCs w:val="28"/>
        </w:rPr>
        <w:t>6.3</w:t>
      </w:r>
      <w:r>
        <w:rPr>
          <w:rFonts w:hint="eastAsia" w:ascii="宋体" w:hAnsi="宋体" w:cs="宋体"/>
          <w:color w:val="auto"/>
          <w:sz w:val="28"/>
          <w:szCs w:val="28"/>
        </w:rPr>
        <w:t>乙方对施工工程的质量负责。因乙方施工失误的原因导致甲方或第三人人身损害和财产损失，甲方有权解除协议，并要求乙方赔偿甲方因此造成的所有损失，并承担相关的责任。甲方因此遭受第三方索赔的，有权向乙方追偿损失。</w:t>
      </w:r>
    </w:p>
    <w:p w14:paraId="497D7EE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6.4甲方未按本协议约定交付合作物业的，合作期限相应顺延。</w:t>
      </w:r>
    </w:p>
    <w:p w14:paraId="7956A0D6">
      <w:pPr>
        <w:spacing w:line="520" w:lineRule="exact"/>
        <w:ind w:firstLine="555"/>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6.5</w:t>
      </w:r>
      <w:r>
        <w:rPr>
          <w:rFonts w:hint="eastAsia"/>
          <w:color w:val="auto"/>
          <w:sz w:val="28"/>
          <w:szCs w:val="28"/>
        </w:rPr>
        <w:t>乙方对装修工程的质量负责，因乙方施工失误的原因导致甲方或第三人人身损害和财产损失，甲方有权单方面解除协议，并要求乙方赔偿甲方因此造成的所有损失，并承担相关的责任。甲方因此遭受第三方索赔的，有权向乙方追偿损失。</w:t>
      </w:r>
    </w:p>
    <w:p w14:paraId="09FAB9D8">
      <w:pPr>
        <w:spacing w:line="520" w:lineRule="exact"/>
        <w:ind w:firstLine="555"/>
        <w:rPr>
          <w:color w:val="auto"/>
          <w:sz w:val="28"/>
          <w:szCs w:val="28"/>
        </w:rPr>
      </w:pPr>
      <w:r>
        <w:rPr>
          <w:rFonts w:hint="eastAsia" w:asciiTheme="minorEastAsia" w:hAnsiTheme="minorEastAsia" w:eastAsiaTheme="minorEastAsia"/>
          <w:color w:val="auto"/>
          <w:sz w:val="28"/>
          <w:szCs w:val="28"/>
        </w:rPr>
        <w:t>6.6本协议约定的甲方“损失”</w:t>
      </w:r>
      <w:r>
        <w:rPr>
          <w:rFonts w:hint="eastAsia"/>
          <w:color w:val="auto"/>
          <w:sz w:val="28"/>
          <w:szCs w:val="28"/>
        </w:rPr>
        <w:t>包括但不限于甲方预期收益的损失和甲方为实现债权而支出的任何合理费用，其中“合理费用”</w:t>
      </w:r>
      <w:r>
        <w:rPr>
          <w:rFonts w:hint="eastAsia" w:asciiTheme="minorEastAsia" w:hAnsiTheme="minorEastAsia" w:eastAsiaTheme="minorEastAsia"/>
          <w:color w:val="auto"/>
          <w:sz w:val="28"/>
          <w:szCs w:val="28"/>
        </w:rPr>
        <w:t>包括但不限于</w:t>
      </w:r>
      <w:r>
        <w:rPr>
          <w:rFonts w:hint="eastAsia"/>
          <w:color w:val="auto"/>
          <w:sz w:val="28"/>
          <w:szCs w:val="28"/>
        </w:rPr>
        <w:t>甲方支付的赔偿款、违约金、律师费、诉讼费、公证费、鉴定费、保全费、执行费、差旅费、调查费、评估费、中介费、</w:t>
      </w:r>
      <w:r>
        <w:rPr>
          <w:rFonts w:hint="eastAsia" w:asciiTheme="minorEastAsia" w:hAnsiTheme="minorEastAsia" w:eastAsiaTheme="minorEastAsia"/>
          <w:color w:val="auto"/>
          <w:sz w:val="28"/>
          <w:szCs w:val="28"/>
        </w:rPr>
        <w:t>行政罚款、违约金、赔偿款、补偿款、抚慰金</w:t>
      </w:r>
      <w:r>
        <w:rPr>
          <w:rFonts w:hint="eastAsia"/>
          <w:color w:val="auto"/>
          <w:sz w:val="28"/>
          <w:szCs w:val="28"/>
        </w:rPr>
        <w:t>等费用。</w:t>
      </w:r>
    </w:p>
    <w:p w14:paraId="681FE905">
      <w:pPr>
        <w:spacing w:line="560" w:lineRule="exact"/>
        <w:ind w:firstLine="560" w:firstLineChars="200"/>
        <w:rPr>
          <w:rFonts w:eastAsiaTheme="minorEastAsia"/>
          <w:color w:val="auto"/>
        </w:rPr>
      </w:pPr>
      <w:r>
        <w:rPr>
          <w:rFonts w:hint="eastAsia" w:asciiTheme="minorEastAsia" w:hAnsiTheme="minorEastAsia" w:eastAsiaTheme="minorEastAsia"/>
          <w:color w:val="auto"/>
          <w:sz w:val="28"/>
          <w:szCs w:val="28"/>
        </w:rPr>
        <w:t>6.7如因一方违约，造成守约方的产生诉讼费、律师费、保全费、财产保全担保费、差旅费、公证费、鉴定费、调查取证费均由违约方承担。</w:t>
      </w:r>
    </w:p>
    <w:p w14:paraId="2F16F6C1">
      <w:pPr>
        <w:spacing w:line="560" w:lineRule="exact"/>
        <w:rPr>
          <w:rFonts w:cs="黑体" w:asciiTheme="minorEastAsia" w:hAnsiTheme="minorEastAsia" w:eastAsiaTheme="minorEastAsia"/>
          <w:color w:val="auto"/>
          <w:sz w:val="28"/>
          <w:szCs w:val="28"/>
        </w:rPr>
      </w:pPr>
    </w:p>
    <w:p w14:paraId="3859304F">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第七条 物业服务企业</w:t>
      </w:r>
    </w:p>
    <w:p w14:paraId="002643B9">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7.1物业服务企业：</w:t>
      </w:r>
      <w:r>
        <w:rPr>
          <w:rFonts w:hint="eastAsia" w:asciiTheme="minorEastAsia" w:hAnsiTheme="minorEastAsia" w:eastAsiaTheme="minorEastAsia"/>
          <w:color w:val="auto"/>
          <w:sz w:val="28"/>
          <w:szCs w:val="28"/>
          <w:u w:val="single"/>
        </w:rPr>
        <w:t>广州高新物业服务有限公司</w:t>
      </w:r>
      <w:r>
        <w:rPr>
          <w:rFonts w:hint="eastAsia" w:asciiTheme="minorEastAsia" w:hAnsiTheme="minorEastAsia" w:eastAsiaTheme="minorEastAsia"/>
          <w:color w:val="auto"/>
          <w:sz w:val="28"/>
          <w:szCs w:val="28"/>
        </w:rPr>
        <w:t>（以下简称“物业公司”）负责本合作物业的统一物业管理工作，乙方同意并接受物业公司提供的物业服务。签订本协议时，乙方应与物业公司另行签署相应物业服务合同，且按物业服务合同约定支付物业服务费、物业服务费押金、水电费及其他相关费用，并且在合作期间积极配合物业公司的物业管理工作。</w:t>
      </w:r>
    </w:p>
    <w:p w14:paraId="553E66D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7.2甲、乙双方签署本协议后，如因乙方原因未同时签署物业服务合同及其附件的，也视为物业管理服务关系已实质建立，即乙方同意并接受物业公司提供的统一物业服务。在乙方与物业公司签署物业服务合同及其附件前，甲方有权拒绝向乙方交付合作物业且无须承担违约责任。如双方签署本协议后</w:t>
      </w:r>
      <w:r>
        <w:rPr>
          <w:rFonts w:hint="eastAsia" w:asciiTheme="minorEastAsia" w:hAnsiTheme="minorEastAsia" w:eastAsiaTheme="minorEastAsia"/>
          <w:color w:val="auto"/>
          <w:sz w:val="28"/>
          <w:szCs w:val="28"/>
          <w:u w:val="single"/>
        </w:rPr>
        <w:t>15</w:t>
      </w:r>
      <w:r>
        <w:rPr>
          <w:rFonts w:hint="eastAsia" w:asciiTheme="minorEastAsia" w:hAnsiTheme="minorEastAsia" w:eastAsiaTheme="minorEastAsia"/>
          <w:color w:val="auto"/>
          <w:sz w:val="28"/>
          <w:szCs w:val="28"/>
        </w:rPr>
        <w:t>个工作日内，乙方仍未签署物业服务合同的，甲方有权解除本协议。</w:t>
      </w:r>
    </w:p>
    <w:p w14:paraId="266D075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7.3基于合作服务和物业服务配套整体性的考虑，如由于乙方的责任提前终止或解除物业服务合同，则甲方除有权单方终止或解除本协议外。</w:t>
      </w:r>
    </w:p>
    <w:p w14:paraId="48FB558C">
      <w:pPr>
        <w:spacing w:line="560" w:lineRule="exact"/>
        <w:ind w:firstLine="560" w:firstLineChars="200"/>
        <w:rPr>
          <w:rFonts w:asciiTheme="minorEastAsia" w:hAnsiTheme="minorEastAsia" w:eastAsiaTheme="minorEastAsia"/>
          <w:color w:val="auto"/>
          <w:sz w:val="28"/>
          <w:szCs w:val="28"/>
        </w:rPr>
      </w:pPr>
    </w:p>
    <w:p w14:paraId="3645E348">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第八条 工程施工安全责任险</w:t>
      </w:r>
    </w:p>
    <w:p w14:paraId="4A7622E3">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在施工期间乙方负责购买最高赔付金额不低于100万的工程一切险。</w:t>
      </w:r>
    </w:p>
    <w:p w14:paraId="1B3210ED">
      <w:pPr>
        <w:spacing w:line="560" w:lineRule="exact"/>
        <w:ind w:firstLine="560" w:firstLineChars="200"/>
        <w:rPr>
          <w:rFonts w:asciiTheme="minorEastAsia" w:hAnsiTheme="minorEastAsia" w:eastAsiaTheme="minorEastAsia"/>
          <w:color w:val="auto"/>
          <w:sz w:val="28"/>
          <w:szCs w:val="28"/>
        </w:rPr>
      </w:pPr>
    </w:p>
    <w:p w14:paraId="02A72283">
      <w:pPr>
        <w:spacing w:line="560" w:lineRule="exact"/>
        <w:ind w:firstLine="562" w:firstLineChars="200"/>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第九条 安全生产和消防安全责任</w:t>
      </w:r>
    </w:p>
    <w:p w14:paraId="38B44E1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乙方应对合作物业范围内安全生产及消防安全负有以下责任：</w:t>
      </w:r>
    </w:p>
    <w:p w14:paraId="0AA89C5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9.1建立健全本单位安全生产责任制，</w:t>
      </w:r>
      <w:r>
        <w:rPr>
          <w:rFonts w:hint="eastAsia" w:ascii="宋体" w:hAnsi="宋体"/>
          <w:color w:val="auto"/>
          <w:sz w:val="28"/>
          <w:szCs w:val="28"/>
        </w:rPr>
        <w:t>明确各部门安全工作的岗位责任人，建立健全正常运转的各种安全工作保证体系</w:t>
      </w:r>
    </w:p>
    <w:p w14:paraId="6E97D87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9.2制定本单位安全生产规章制度和操作规程。</w:t>
      </w:r>
    </w:p>
    <w:p w14:paraId="4FE8E1B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9.3保证本单位安全生产投入的有效实施。</w:t>
      </w:r>
    </w:p>
    <w:p w14:paraId="1C2EEC7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9.4督促、检查本单位的安全生产工作，及时消除生产安全事故隐患。</w:t>
      </w:r>
    </w:p>
    <w:p w14:paraId="2DF810C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9.5组织制定并实施本单位的生产安全事故应急救援预案。</w:t>
      </w:r>
    </w:p>
    <w:p w14:paraId="30BFCBF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9.6及时如实向有关部门报告生产安全事故。</w:t>
      </w:r>
    </w:p>
    <w:p w14:paraId="0E6CB398">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9.7确保不损坏、拆除、遮挡合作物业面积范围内的消防设施。</w:t>
      </w:r>
    </w:p>
    <w:p w14:paraId="2358B84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9.8确保合作物业范围内消防设施的完整。</w:t>
      </w:r>
    </w:p>
    <w:p w14:paraId="6BD775F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9.9确保不在合作物业内堆放超过楼板承载能力的物品。</w:t>
      </w:r>
    </w:p>
    <w:p w14:paraId="30F9F685">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9.10定期接受甲方及甲方委托的物业公司的检查工作。</w:t>
      </w:r>
    </w:p>
    <w:p w14:paraId="05344BF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9.11除在安全操作规程下，不在合作物业明确禁止使用明火的地方内用明火作业。</w:t>
      </w:r>
    </w:p>
    <w:p w14:paraId="341B5C15">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9.12根据本单位生产实际情况，配备足够的灭火器材。</w:t>
      </w:r>
    </w:p>
    <w:p w14:paraId="2258E0A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9.13确保不在电房堆放物品。</w:t>
      </w:r>
    </w:p>
    <w:p w14:paraId="47C7BB3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9.14严格遵守用电规程，严禁超负荷用电。</w:t>
      </w:r>
    </w:p>
    <w:p w14:paraId="088E5C0C">
      <w:pPr>
        <w:snapToGrid w:val="0"/>
        <w:spacing w:line="560" w:lineRule="exact"/>
        <w:ind w:firstLine="560" w:firstLineChars="200"/>
        <w:rPr>
          <w:rFonts w:asciiTheme="minorEastAsia" w:hAnsiTheme="minorEastAsia" w:eastAsiaTheme="minorEastAsia"/>
          <w:color w:val="auto"/>
          <w:sz w:val="28"/>
          <w:szCs w:val="28"/>
        </w:rPr>
      </w:pPr>
      <w:r>
        <w:rPr>
          <w:rFonts w:hint="eastAsia" w:ascii="宋体" w:hAnsi="宋体"/>
          <w:color w:val="auto"/>
          <w:sz w:val="28"/>
          <w:szCs w:val="28"/>
        </w:rPr>
        <w:t>9.15在施工现场采取维护安全、防范危险、预防火灾等措施，在特殊作业环境应对作业人员采取劳动保护措施。</w:t>
      </w:r>
    </w:p>
    <w:p w14:paraId="5A347315">
      <w:pPr>
        <w:spacing w:line="560" w:lineRule="exact"/>
        <w:ind w:firstLine="560" w:firstLineChars="200"/>
        <w:rPr>
          <w:rFonts w:ascii="宋体" w:hAnsi="宋体"/>
          <w:color w:val="auto"/>
          <w:sz w:val="28"/>
          <w:szCs w:val="28"/>
        </w:rPr>
      </w:pPr>
      <w:r>
        <w:rPr>
          <w:rFonts w:hint="eastAsia" w:ascii="宋体" w:hAnsi="宋体"/>
          <w:color w:val="auto"/>
          <w:sz w:val="28"/>
          <w:szCs w:val="28"/>
        </w:rPr>
        <w:t>9.16开工前须向质量安全监督机构提交备案的书面资料。</w:t>
      </w:r>
    </w:p>
    <w:p w14:paraId="1060C6DE">
      <w:pPr>
        <w:spacing w:line="560" w:lineRule="exact"/>
        <w:ind w:firstLine="560" w:firstLineChars="200"/>
        <w:rPr>
          <w:rFonts w:asciiTheme="minorEastAsia" w:hAnsiTheme="minorEastAsia" w:eastAsiaTheme="minorEastAsia"/>
          <w:color w:val="auto"/>
          <w:sz w:val="28"/>
          <w:szCs w:val="28"/>
        </w:rPr>
      </w:pPr>
      <w:r>
        <w:rPr>
          <w:rFonts w:hint="eastAsia" w:ascii="宋体" w:hAnsi="宋体"/>
          <w:color w:val="auto"/>
          <w:sz w:val="28"/>
          <w:szCs w:val="28"/>
        </w:rPr>
        <w:t>9.17在编制施工组织设计时，应当根据工程的特点编制相应的安全技术措施。</w:t>
      </w:r>
    </w:p>
    <w:p w14:paraId="228C10E6">
      <w:pPr>
        <w:spacing w:line="560" w:lineRule="exact"/>
        <w:ind w:firstLine="560" w:firstLineChars="200"/>
        <w:rPr>
          <w:rFonts w:asciiTheme="minorEastAsia" w:hAnsiTheme="minorEastAsia" w:eastAsiaTheme="minorEastAsia"/>
          <w:color w:val="auto"/>
          <w:sz w:val="28"/>
          <w:szCs w:val="28"/>
        </w:rPr>
      </w:pPr>
      <w:r>
        <w:rPr>
          <w:rFonts w:hint="eastAsia" w:ascii="宋体" w:hAnsi="宋体"/>
          <w:color w:val="auto"/>
          <w:sz w:val="28"/>
          <w:szCs w:val="28"/>
        </w:rPr>
        <w:t>9.18采取安全防护措施，避免施工活动对周边的建筑物和构筑物造成损害。</w:t>
      </w:r>
    </w:p>
    <w:p w14:paraId="583B566F">
      <w:pPr>
        <w:snapToGrid w:val="0"/>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9.19</w:t>
      </w:r>
      <w:r>
        <w:rPr>
          <w:rFonts w:hint="eastAsia" w:ascii="宋体" w:hAnsi="宋体"/>
          <w:color w:val="auto"/>
          <w:sz w:val="28"/>
          <w:szCs w:val="28"/>
        </w:rPr>
        <w:t>书面记录专项安全施工组织设计方案审查、安全检查、安全技术交底、安全隐患整改、安全教育等重要安全管理活动。</w:t>
      </w:r>
    </w:p>
    <w:p w14:paraId="048390C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9.20乙方应自行维护保养其安装在房屋外墙上的设施，如：空调机、各种管道、招牌、排气槽等悬挂物，确保其稳固安全。如属于乙方的上述悬挂物坠落引致伤人事故，乙方必须承担由此而引起的全部责任，造成甲方损失的由乙方负责赔偿。</w:t>
      </w:r>
    </w:p>
    <w:p w14:paraId="2E09CAB1">
      <w:pPr>
        <w:spacing w:line="560" w:lineRule="exact"/>
        <w:ind w:firstLine="560" w:firstLineChars="200"/>
        <w:rPr>
          <w:rFonts w:asciiTheme="minorEastAsia" w:hAnsiTheme="minorEastAsia" w:eastAsiaTheme="minorEastAsia"/>
          <w:color w:val="auto"/>
          <w:sz w:val="28"/>
          <w:szCs w:val="28"/>
        </w:rPr>
      </w:pPr>
    </w:p>
    <w:p w14:paraId="445015E6">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第十条 其他事项</w:t>
      </w:r>
    </w:p>
    <w:p w14:paraId="02C91258">
      <w:pPr>
        <w:pStyle w:val="17"/>
        <w:numPr>
          <w:ilvl w:val="255"/>
          <w:numId w:val="0"/>
        </w:numPr>
        <w:spacing w:line="560" w:lineRule="exact"/>
        <w:ind w:firstLine="56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10.1合作期内，如经房屋安全鉴定部门鉴定该合作物业不符合安全使用标准的，则合作协议自行终止且双方互不承责。</w:t>
      </w:r>
    </w:p>
    <w:p w14:paraId="56D1F4C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10.2如发生地震、台风、水灾、火灾、</w:t>
      </w:r>
      <w:r>
        <w:rPr>
          <w:rFonts w:asciiTheme="minorEastAsia" w:hAnsiTheme="minorEastAsia" w:eastAsiaTheme="minorEastAsia"/>
          <w:color w:val="auto"/>
          <w:sz w:val="28"/>
          <w:szCs w:val="28"/>
        </w:rPr>
        <w:t>动乱、罢工、法律法规政策调整、</w:t>
      </w:r>
      <w:r>
        <w:rPr>
          <w:rFonts w:hint="eastAsia" w:asciiTheme="minorEastAsia" w:hAnsiTheme="minorEastAsia" w:eastAsiaTheme="minorEastAsia"/>
          <w:color w:val="auto"/>
          <w:sz w:val="28"/>
          <w:szCs w:val="28"/>
        </w:rPr>
        <w:t>其他</w:t>
      </w:r>
      <w:r>
        <w:rPr>
          <w:rFonts w:asciiTheme="minorEastAsia" w:hAnsiTheme="minorEastAsia" w:eastAsiaTheme="minorEastAsia"/>
          <w:color w:val="auto"/>
          <w:sz w:val="28"/>
          <w:szCs w:val="28"/>
        </w:rPr>
        <w:t>政府行为</w:t>
      </w:r>
      <w:r>
        <w:rPr>
          <w:rFonts w:hint="eastAsia" w:asciiTheme="minorEastAsia" w:hAnsiTheme="minorEastAsia" w:eastAsiaTheme="minorEastAsia"/>
          <w:color w:val="auto"/>
          <w:sz w:val="28"/>
          <w:szCs w:val="28"/>
        </w:rPr>
        <w:t>等不可抗力行为，导致本协议不能履行或者迟延履行的，则发生不可抗力事由的一方应当立即书面通知另一方，并在不可抗力事由发生后14天内提供证明文件，同时应当采取措施，将本协议不能履行或迟延履行所产生的损失降至最低程度。如因上述不可抗力事由导致本协议不能履行或者迟延履行的，双方互不视作违约，无需承担违约责任。</w:t>
      </w:r>
    </w:p>
    <w:p w14:paraId="760E3A4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10.3合作期内合作物业发生征地拆迁，双方依国家相关规定办理。</w:t>
      </w:r>
    </w:p>
    <w:p w14:paraId="3EA5093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10.4合作期间需缴交的各项税费，由双方按相关规定各自负担。</w:t>
      </w:r>
    </w:p>
    <w:p w14:paraId="477D0CB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10.5合作协议终止或解除时，乙方尚有拖欠物业服务费、水电费等款项，甲方可暂时扣留乙方的设施设备、物品。</w:t>
      </w:r>
    </w:p>
    <w:p w14:paraId="19AF66D3">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10.6甲乙双方签约时，应当提供营业执照、税务登记证、身份证原件、复印件供对方核对及备案。</w:t>
      </w:r>
    </w:p>
    <w:p w14:paraId="784AAFA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10.7因甲方向乙方提供的合作物业属于国有资产，如甲方按照政府主管部门根据规划发展、公共需要等原因要求收回物业，或者对物业的相关费用（包括但不限于租金价格、公摊水电费价格、污水处理费、基础电费等）进行统一调整，乙方应当积极配合甲方对前述事项内容的调整或配合双方解除《合作协议》。如乙方拒绝配合的，视为乙方违约，甲方有权单方解除本协议，并且无需给予任何补偿或赔偿。</w:t>
      </w:r>
    </w:p>
    <w:p w14:paraId="5E8465A5">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10.8双方因履行本协议而相互发出的所有通知、文件、资料，均以本协议所列明的各方地址为受送达地点，送达方式为当面交付、邮寄、传真、电子邮件等，一方如果迁址或者变更送达地点的，应当书面通知对方。送达通知、文件、资料，当面交付的，交付之时视为送达；通过传真或者电子邮件方式的，发出传真或电子邮件时视为送达；通过邮寄方式的，以将邮件送到受送达地点时（以邮戳或批条、证明为准）视为送达。</w:t>
      </w:r>
    </w:p>
    <w:p w14:paraId="0C3C1F3D">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10.9若乙方的联系方式有变更，需在变更前</w:t>
      </w:r>
      <w:r>
        <w:rPr>
          <w:rFonts w:asciiTheme="minorEastAsia" w:hAnsiTheme="minorEastAsia" w:eastAsiaTheme="minorEastAsia"/>
          <w:color w:val="auto"/>
          <w:sz w:val="28"/>
          <w:szCs w:val="28"/>
        </w:rPr>
        <w:t>14天之内书面通知甲方，否则由此导致甲方使乙方未能收到通知亦视为已送达。</w:t>
      </w:r>
    </w:p>
    <w:p w14:paraId="02EF1C54">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10.10本协议未尽事宜，双方可另行签订补充协议，补充协议与本协议具有同等法律效力。</w:t>
      </w:r>
    </w:p>
    <w:p w14:paraId="60A01CD8">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10.11本协议履行中发生争议，双方应当友好协商解决，协商不成的，任何一方均可向合作物业所在地的人民法院通过诉讼解决。</w:t>
      </w:r>
    </w:p>
    <w:p w14:paraId="08BD8AF2">
      <w:pPr>
        <w:spacing w:line="560" w:lineRule="exact"/>
        <w:ind w:firstLine="700" w:firstLineChars="250"/>
        <w:rPr>
          <w:rFonts w:asciiTheme="minorEastAsia" w:hAnsiTheme="minorEastAsia" w:eastAsiaTheme="minorEastAsia"/>
          <w:b/>
          <w:color w:val="auto"/>
          <w:sz w:val="28"/>
          <w:szCs w:val="28"/>
        </w:rPr>
      </w:pPr>
      <w:r>
        <w:rPr>
          <w:rFonts w:hint="eastAsia" w:asciiTheme="minorEastAsia" w:hAnsiTheme="minorEastAsia" w:eastAsiaTheme="minorEastAsia"/>
          <w:color w:val="auto"/>
          <w:sz w:val="28"/>
          <w:szCs w:val="28"/>
        </w:rPr>
        <w:t>10.</w:t>
      </w:r>
      <w:r>
        <w:rPr>
          <w:rFonts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2本协议</w:t>
      </w:r>
      <w:r>
        <w:rPr>
          <w:rFonts w:asciiTheme="minorEastAsia" w:hAnsiTheme="minorEastAsia" w:eastAsiaTheme="minorEastAsia"/>
          <w:color w:val="auto"/>
          <w:sz w:val="28"/>
          <w:szCs w:val="28"/>
        </w:rPr>
        <w:t>自双方签字盖章</w:t>
      </w:r>
      <w:r>
        <w:rPr>
          <w:rFonts w:hint="eastAsia" w:asciiTheme="minorEastAsia" w:hAnsiTheme="minorEastAsia" w:eastAsiaTheme="minorEastAsia"/>
          <w:color w:val="auto"/>
          <w:sz w:val="28"/>
          <w:szCs w:val="28"/>
        </w:rPr>
        <w:t>之日</w:t>
      </w:r>
      <w:r>
        <w:rPr>
          <w:rFonts w:asciiTheme="minorEastAsia" w:hAnsiTheme="minorEastAsia" w:eastAsiaTheme="minorEastAsia"/>
          <w:color w:val="auto"/>
          <w:sz w:val="28"/>
          <w:szCs w:val="28"/>
        </w:rPr>
        <w:t>起生效，</w:t>
      </w:r>
      <w:r>
        <w:rPr>
          <w:rFonts w:hint="eastAsia" w:asciiTheme="minorEastAsia" w:hAnsiTheme="minorEastAsia" w:eastAsiaTheme="minorEastAsia"/>
          <w:color w:val="auto"/>
          <w:sz w:val="28"/>
          <w:szCs w:val="28"/>
        </w:rPr>
        <w:t>一式肆份，甲方执贰份，乙方执贰份，均具同等法律效力。</w:t>
      </w:r>
    </w:p>
    <w:p w14:paraId="7A292054">
      <w:pPr>
        <w:spacing w:line="560" w:lineRule="exact"/>
        <w:rPr>
          <w:rFonts w:hint="eastAsia"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（以下无正文）</w:t>
      </w:r>
    </w:p>
    <w:p w14:paraId="5D8A5BA0">
      <w:pPr>
        <w:spacing w:line="560" w:lineRule="exact"/>
        <w:rPr>
          <w:rFonts w:asciiTheme="minorEastAsia" w:hAnsiTheme="minorEastAsia" w:eastAsiaTheme="minorEastAsia"/>
          <w:b/>
          <w:color w:val="auto"/>
          <w:sz w:val="28"/>
          <w:szCs w:val="28"/>
        </w:rPr>
      </w:pPr>
    </w:p>
    <w:p w14:paraId="01E30C20">
      <w:pPr>
        <w:spacing w:line="560" w:lineRule="exact"/>
        <w:rPr>
          <w:rFonts w:asciiTheme="minorEastAsia" w:hAnsiTheme="minorEastAsia" w:eastAsiaTheme="minorEastAsia"/>
          <w:b/>
          <w:color w:val="auto"/>
          <w:sz w:val="28"/>
          <w:szCs w:val="28"/>
        </w:rPr>
      </w:pPr>
    </w:p>
    <w:p w14:paraId="439B89DD">
      <w:pPr>
        <w:spacing w:line="560" w:lineRule="exact"/>
        <w:rPr>
          <w:rFonts w:asciiTheme="minorEastAsia" w:hAnsiTheme="minorEastAsia" w:eastAsiaTheme="minorEastAsia"/>
          <w:b/>
          <w:color w:val="auto"/>
          <w:sz w:val="28"/>
          <w:szCs w:val="28"/>
        </w:rPr>
      </w:pPr>
    </w:p>
    <w:p w14:paraId="0D3A65B9">
      <w:pPr>
        <w:spacing w:line="560" w:lineRule="exact"/>
        <w:rPr>
          <w:rFonts w:asciiTheme="minorEastAsia" w:hAnsiTheme="minorEastAsia" w:eastAsiaTheme="minorEastAsia"/>
          <w:b/>
          <w:color w:val="auto"/>
          <w:sz w:val="28"/>
          <w:szCs w:val="28"/>
        </w:rPr>
      </w:pPr>
    </w:p>
    <w:p w14:paraId="6FE9E76F">
      <w:pPr>
        <w:spacing w:line="560" w:lineRule="exact"/>
        <w:rPr>
          <w:rFonts w:asciiTheme="minorEastAsia" w:hAnsiTheme="minorEastAsia" w:eastAsiaTheme="minorEastAsia"/>
          <w:b/>
          <w:color w:val="auto"/>
          <w:sz w:val="28"/>
          <w:szCs w:val="28"/>
        </w:rPr>
      </w:pPr>
    </w:p>
    <w:p w14:paraId="2C60CAAE">
      <w:pPr>
        <w:spacing w:line="560" w:lineRule="exact"/>
        <w:rPr>
          <w:rFonts w:asciiTheme="minorEastAsia" w:hAnsiTheme="minorEastAsia" w:eastAsiaTheme="minorEastAsia"/>
          <w:b/>
          <w:color w:val="auto"/>
          <w:sz w:val="28"/>
          <w:szCs w:val="28"/>
        </w:rPr>
      </w:pPr>
    </w:p>
    <w:p w14:paraId="670160B0">
      <w:pPr>
        <w:spacing w:line="560" w:lineRule="exact"/>
        <w:rPr>
          <w:rFonts w:asciiTheme="minorEastAsia" w:hAnsiTheme="minorEastAsia" w:eastAsiaTheme="minorEastAsia"/>
          <w:b/>
          <w:color w:val="auto"/>
          <w:sz w:val="28"/>
          <w:szCs w:val="28"/>
        </w:rPr>
      </w:pPr>
    </w:p>
    <w:p w14:paraId="2D0A7FCE">
      <w:pPr>
        <w:spacing w:line="560" w:lineRule="exact"/>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（签署页无正文）</w:t>
      </w:r>
    </w:p>
    <w:p w14:paraId="413A2989">
      <w:pPr>
        <w:spacing w:line="560" w:lineRule="exact"/>
        <w:rPr>
          <w:rFonts w:asciiTheme="minorEastAsia" w:hAnsiTheme="minorEastAsia" w:eastAsiaTheme="minorEastAsia"/>
          <w:b/>
          <w:color w:val="auto"/>
          <w:sz w:val="28"/>
          <w:szCs w:val="28"/>
        </w:rPr>
      </w:pPr>
    </w:p>
    <w:p w14:paraId="0477B3CE">
      <w:pPr>
        <w:pStyle w:val="2"/>
        <w:rPr>
          <w:color w:val="auto"/>
        </w:rPr>
      </w:pPr>
    </w:p>
    <w:p w14:paraId="07C7D52C">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甲方（盖章）</w:t>
      </w:r>
      <w:r>
        <w:rPr>
          <w:rFonts w:hint="eastAsia" w:asciiTheme="minorEastAsia" w:hAnsiTheme="minorEastAsia" w:eastAsiaTheme="minorEastAsia"/>
          <w:color w:val="auto"/>
          <w:sz w:val="28"/>
          <w:szCs w:val="28"/>
        </w:rPr>
        <w:t>：</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b/>
          <w:color w:val="auto"/>
          <w:sz w:val="28"/>
          <w:szCs w:val="28"/>
        </w:rPr>
        <w:t>乙方（盖章）</w:t>
      </w:r>
      <w:r>
        <w:rPr>
          <w:rFonts w:hint="eastAsia" w:asciiTheme="minorEastAsia" w:hAnsiTheme="minorEastAsia" w:eastAsiaTheme="minorEastAsia"/>
          <w:color w:val="auto"/>
          <w:sz w:val="28"/>
          <w:szCs w:val="28"/>
        </w:rPr>
        <w:t>：</w:t>
      </w:r>
    </w:p>
    <w:p w14:paraId="1849AD10">
      <w:pPr>
        <w:spacing w:line="560" w:lineRule="exact"/>
        <w:ind w:firstLine="560" w:firstLineChars="200"/>
        <w:rPr>
          <w:rFonts w:asciiTheme="minorEastAsia" w:hAnsiTheme="minorEastAsia" w:eastAsiaTheme="minorEastAsia"/>
          <w:color w:val="auto"/>
          <w:sz w:val="28"/>
          <w:szCs w:val="28"/>
        </w:rPr>
      </w:pPr>
    </w:p>
    <w:p w14:paraId="5D80FB81">
      <w:pPr>
        <w:spacing w:line="560" w:lineRule="exact"/>
        <w:ind w:firstLine="560" w:firstLineChars="200"/>
        <w:rPr>
          <w:rFonts w:asciiTheme="minorEastAsia" w:hAnsiTheme="minorEastAsia" w:eastAsiaTheme="minorEastAsia"/>
          <w:color w:val="auto"/>
          <w:sz w:val="28"/>
          <w:szCs w:val="28"/>
        </w:rPr>
      </w:pPr>
    </w:p>
    <w:p w14:paraId="383D62A6">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法定代表人（签字）：</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法定代表人（签字）：</w:t>
      </w:r>
    </w:p>
    <w:p w14:paraId="25FE4B87">
      <w:pPr>
        <w:spacing w:line="560" w:lineRule="exact"/>
        <w:ind w:firstLine="560" w:firstLineChars="200"/>
        <w:rPr>
          <w:rFonts w:asciiTheme="minorEastAsia" w:hAnsiTheme="minorEastAsia" w:eastAsiaTheme="minorEastAsia"/>
          <w:color w:val="auto"/>
          <w:sz w:val="28"/>
          <w:szCs w:val="28"/>
        </w:rPr>
      </w:pPr>
    </w:p>
    <w:p w14:paraId="27A44FFD">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证件号码：</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证件号码：</w:t>
      </w:r>
    </w:p>
    <w:p w14:paraId="659D5D7F">
      <w:pPr>
        <w:spacing w:line="560" w:lineRule="exact"/>
        <w:rPr>
          <w:rFonts w:asciiTheme="minorEastAsia" w:hAnsiTheme="minorEastAsia" w:eastAsiaTheme="minorEastAsia"/>
          <w:color w:val="auto"/>
          <w:sz w:val="28"/>
          <w:szCs w:val="28"/>
        </w:rPr>
      </w:pPr>
    </w:p>
    <w:p w14:paraId="6118C101">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委托代理人（签字）：</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委托代理人（签字）：</w:t>
      </w:r>
    </w:p>
    <w:p w14:paraId="0DB12479">
      <w:pPr>
        <w:spacing w:line="560" w:lineRule="exact"/>
        <w:ind w:firstLine="560" w:firstLineChars="200"/>
        <w:rPr>
          <w:rFonts w:asciiTheme="minorEastAsia" w:hAnsiTheme="minorEastAsia" w:eastAsiaTheme="minorEastAsia"/>
          <w:color w:val="auto"/>
          <w:sz w:val="28"/>
          <w:szCs w:val="28"/>
        </w:rPr>
      </w:pPr>
    </w:p>
    <w:p w14:paraId="5FD0F904">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证件号码：</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证件号码：</w:t>
      </w:r>
    </w:p>
    <w:p w14:paraId="6EEDFE18">
      <w:pPr>
        <w:spacing w:line="560" w:lineRule="exact"/>
        <w:rPr>
          <w:rFonts w:asciiTheme="minorEastAsia" w:hAnsiTheme="minorEastAsia" w:eastAsiaTheme="minorEastAsia"/>
          <w:color w:val="auto"/>
          <w:sz w:val="28"/>
          <w:szCs w:val="28"/>
        </w:rPr>
      </w:pPr>
    </w:p>
    <w:p w14:paraId="3B39D149">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联系电话：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联系电话：</w:t>
      </w:r>
    </w:p>
    <w:p w14:paraId="341EAD05">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传真：</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传真：</w:t>
      </w:r>
    </w:p>
    <w:p w14:paraId="17E067F2">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通讯地址：</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 xml:space="preserve">      通讯地址：</w:t>
      </w:r>
      <w:r>
        <w:rPr>
          <w:rFonts w:asciiTheme="minorEastAsia" w:hAnsiTheme="minorEastAsia" w:eastAsiaTheme="minorEastAsia"/>
          <w:color w:val="auto"/>
          <w:sz w:val="28"/>
          <w:szCs w:val="28"/>
        </w:rPr>
        <w:t xml:space="preserve"> </w:t>
      </w:r>
    </w:p>
    <w:p w14:paraId="17005B33">
      <w:pPr>
        <w:spacing w:line="560" w:lineRule="exact"/>
        <w:ind w:left="5881" w:leftChars="334" w:hanging="5180" w:hangingChars="185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14:paraId="21DB3417">
      <w:pPr>
        <w:spacing w:line="560" w:lineRule="exact"/>
        <w:rPr>
          <w:color w:val="auto"/>
        </w:rPr>
      </w:pPr>
      <w:r>
        <w:rPr>
          <w:rFonts w:hint="eastAsia" w:asciiTheme="minorEastAsia" w:hAnsiTheme="minorEastAsia" w:eastAsiaTheme="minorEastAsia"/>
          <w:color w:val="auto"/>
          <w:sz w:val="28"/>
          <w:szCs w:val="28"/>
        </w:rPr>
        <w:t>签署时间：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日</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签署时间：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日</w:t>
      </w:r>
    </w:p>
    <w:p w14:paraId="0377E949">
      <w:pPr>
        <w:spacing w:line="560" w:lineRule="exact"/>
      </w:pPr>
    </w:p>
    <w:sectPr>
      <w:footerReference r:id="rId4" w:type="default"/>
      <w:pgSz w:w="11906" w:h="16838"/>
      <w:pgMar w:top="1440" w:right="1418"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A2D5">
    <w:pPr>
      <w:pStyle w:val="7"/>
      <w:tabs>
        <w:tab w:val="center" w:pos="4478"/>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76D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2A0F0F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PqR3RAAAAAwEAAA8AAAAAAAAAAQAgAAAAIgAAAGRycy9kb3ducmV2LnhtbFBL&#10;AQIUABQAAAAIAIdO4kATALX0NgIAAGAEAAAOAAAAAAAAAAEAIAAAACABAABkcnMvZTJvRG9jLnht&#10;bFBLBQYAAAAABgAGAFkBAADIBQAAAAA=&#10;">
              <v:fill on="f" focussize="0,0"/>
              <v:stroke on="f" weight="0.5pt"/>
              <v:imagedata o:title=""/>
              <o:lock v:ext="edit" aspectratio="f"/>
              <v:textbox inset="0mm,0mm,0mm,0mm" style="mso-fit-shape-to-text:t;">
                <w:txbxContent>
                  <w:p w14:paraId="2A0F0F8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NotTrackFormatting/>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NzQ5MTQ3NTc4YzJhNzBiOTU1YTNjODEzMzI4MTgifQ=="/>
  </w:docVars>
  <w:rsids>
    <w:rsidRoot w:val="001F0500"/>
    <w:rsid w:val="00002CEA"/>
    <w:rsid w:val="000221C6"/>
    <w:rsid w:val="00023686"/>
    <w:rsid w:val="00023AC1"/>
    <w:rsid w:val="0003146D"/>
    <w:rsid w:val="0003234E"/>
    <w:rsid w:val="00097323"/>
    <w:rsid w:val="000A128D"/>
    <w:rsid w:val="000C2B16"/>
    <w:rsid w:val="000C6100"/>
    <w:rsid w:val="001241A6"/>
    <w:rsid w:val="001257AE"/>
    <w:rsid w:val="00136141"/>
    <w:rsid w:val="001511A5"/>
    <w:rsid w:val="00151DDB"/>
    <w:rsid w:val="00162393"/>
    <w:rsid w:val="00176325"/>
    <w:rsid w:val="00181114"/>
    <w:rsid w:val="00182B2F"/>
    <w:rsid w:val="001A1A06"/>
    <w:rsid w:val="001B3FD6"/>
    <w:rsid w:val="001B4838"/>
    <w:rsid w:val="001C11F0"/>
    <w:rsid w:val="001C6182"/>
    <w:rsid w:val="001D57FB"/>
    <w:rsid w:val="001E2618"/>
    <w:rsid w:val="001E7F8E"/>
    <w:rsid w:val="001F0500"/>
    <w:rsid w:val="001F51B6"/>
    <w:rsid w:val="001F5DB7"/>
    <w:rsid w:val="001F750A"/>
    <w:rsid w:val="001F7D67"/>
    <w:rsid w:val="00220D0E"/>
    <w:rsid w:val="002239C1"/>
    <w:rsid w:val="00224BA3"/>
    <w:rsid w:val="00230301"/>
    <w:rsid w:val="00237E5B"/>
    <w:rsid w:val="002418AF"/>
    <w:rsid w:val="00243A5E"/>
    <w:rsid w:val="00256D48"/>
    <w:rsid w:val="00257555"/>
    <w:rsid w:val="00261A9E"/>
    <w:rsid w:val="00270EE7"/>
    <w:rsid w:val="002916F3"/>
    <w:rsid w:val="002920EC"/>
    <w:rsid w:val="0029682F"/>
    <w:rsid w:val="002A1E65"/>
    <w:rsid w:val="002A5447"/>
    <w:rsid w:val="002C6B6F"/>
    <w:rsid w:val="002D38C1"/>
    <w:rsid w:val="00316234"/>
    <w:rsid w:val="00321819"/>
    <w:rsid w:val="0033203D"/>
    <w:rsid w:val="00342902"/>
    <w:rsid w:val="0034496D"/>
    <w:rsid w:val="00345C94"/>
    <w:rsid w:val="003465EB"/>
    <w:rsid w:val="00380DA5"/>
    <w:rsid w:val="00382EF9"/>
    <w:rsid w:val="00383F1C"/>
    <w:rsid w:val="00385F54"/>
    <w:rsid w:val="003878F8"/>
    <w:rsid w:val="00391789"/>
    <w:rsid w:val="00394CC6"/>
    <w:rsid w:val="003A4B45"/>
    <w:rsid w:val="003A598A"/>
    <w:rsid w:val="003B5809"/>
    <w:rsid w:val="003C0407"/>
    <w:rsid w:val="003C073A"/>
    <w:rsid w:val="003F199F"/>
    <w:rsid w:val="004003D4"/>
    <w:rsid w:val="004247FD"/>
    <w:rsid w:val="004310A8"/>
    <w:rsid w:val="00431105"/>
    <w:rsid w:val="00442CBA"/>
    <w:rsid w:val="0044471A"/>
    <w:rsid w:val="00463D1D"/>
    <w:rsid w:val="00466420"/>
    <w:rsid w:val="00467FF7"/>
    <w:rsid w:val="00471B3F"/>
    <w:rsid w:val="004A0FFB"/>
    <w:rsid w:val="004A2E21"/>
    <w:rsid w:val="004A46BE"/>
    <w:rsid w:val="004C4C96"/>
    <w:rsid w:val="004E3AD0"/>
    <w:rsid w:val="00503527"/>
    <w:rsid w:val="00512AFF"/>
    <w:rsid w:val="005226E9"/>
    <w:rsid w:val="00524C92"/>
    <w:rsid w:val="00526572"/>
    <w:rsid w:val="00537671"/>
    <w:rsid w:val="00552BF2"/>
    <w:rsid w:val="00562928"/>
    <w:rsid w:val="0057014C"/>
    <w:rsid w:val="00580B05"/>
    <w:rsid w:val="00582575"/>
    <w:rsid w:val="005962FB"/>
    <w:rsid w:val="005A3F06"/>
    <w:rsid w:val="005C33AE"/>
    <w:rsid w:val="005D2FF9"/>
    <w:rsid w:val="005F0A1C"/>
    <w:rsid w:val="005F6442"/>
    <w:rsid w:val="005F7B20"/>
    <w:rsid w:val="00602651"/>
    <w:rsid w:val="0061059D"/>
    <w:rsid w:val="00625711"/>
    <w:rsid w:val="00650B82"/>
    <w:rsid w:val="00650BA8"/>
    <w:rsid w:val="00656647"/>
    <w:rsid w:val="006736A2"/>
    <w:rsid w:val="006749B6"/>
    <w:rsid w:val="00696390"/>
    <w:rsid w:val="006B3163"/>
    <w:rsid w:val="006E5C55"/>
    <w:rsid w:val="007061A1"/>
    <w:rsid w:val="00713243"/>
    <w:rsid w:val="0073740B"/>
    <w:rsid w:val="00752BC5"/>
    <w:rsid w:val="00761DF4"/>
    <w:rsid w:val="0077673D"/>
    <w:rsid w:val="00785F0B"/>
    <w:rsid w:val="00797DBF"/>
    <w:rsid w:val="007A3AF5"/>
    <w:rsid w:val="007B239D"/>
    <w:rsid w:val="007D1B31"/>
    <w:rsid w:val="007D62E6"/>
    <w:rsid w:val="007D68E3"/>
    <w:rsid w:val="007F3290"/>
    <w:rsid w:val="008060F4"/>
    <w:rsid w:val="00820273"/>
    <w:rsid w:val="00846D0C"/>
    <w:rsid w:val="0085766A"/>
    <w:rsid w:val="008619C2"/>
    <w:rsid w:val="00870B33"/>
    <w:rsid w:val="00871650"/>
    <w:rsid w:val="008755D4"/>
    <w:rsid w:val="00880EAC"/>
    <w:rsid w:val="008868C4"/>
    <w:rsid w:val="0089151C"/>
    <w:rsid w:val="00894E00"/>
    <w:rsid w:val="008C6D0D"/>
    <w:rsid w:val="008D433B"/>
    <w:rsid w:val="008D7926"/>
    <w:rsid w:val="008D7D0D"/>
    <w:rsid w:val="008E2531"/>
    <w:rsid w:val="00901F69"/>
    <w:rsid w:val="00905B90"/>
    <w:rsid w:val="00912C13"/>
    <w:rsid w:val="00934AF2"/>
    <w:rsid w:val="009360E3"/>
    <w:rsid w:val="009424F8"/>
    <w:rsid w:val="00945150"/>
    <w:rsid w:val="00947B26"/>
    <w:rsid w:val="00950618"/>
    <w:rsid w:val="00963320"/>
    <w:rsid w:val="0099349E"/>
    <w:rsid w:val="009B3098"/>
    <w:rsid w:val="009B3B02"/>
    <w:rsid w:val="009B71E7"/>
    <w:rsid w:val="009C5A21"/>
    <w:rsid w:val="00A04F7A"/>
    <w:rsid w:val="00A10AF8"/>
    <w:rsid w:val="00A13C5B"/>
    <w:rsid w:val="00A14576"/>
    <w:rsid w:val="00A3383E"/>
    <w:rsid w:val="00A3388A"/>
    <w:rsid w:val="00A35E9E"/>
    <w:rsid w:val="00A57A4E"/>
    <w:rsid w:val="00A60E38"/>
    <w:rsid w:val="00A67E84"/>
    <w:rsid w:val="00A76622"/>
    <w:rsid w:val="00A80B0D"/>
    <w:rsid w:val="00A81932"/>
    <w:rsid w:val="00AA4311"/>
    <w:rsid w:val="00AD0B20"/>
    <w:rsid w:val="00AD15E6"/>
    <w:rsid w:val="00AD7182"/>
    <w:rsid w:val="00AE0630"/>
    <w:rsid w:val="00AE4C9E"/>
    <w:rsid w:val="00B20EEB"/>
    <w:rsid w:val="00B21553"/>
    <w:rsid w:val="00B326BC"/>
    <w:rsid w:val="00B355CE"/>
    <w:rsid w:val="00B62C1D"/>
    <w:rsid w:val="00B92A98"/>
    <w:rsid w:val="00B956C3"/>
    <w:rsid w:val="00B959AE"/>
    <w:rsid w:val="00BA3AAA"/>
    <w:rsid w:val="00BA7B50"/>
    <w:rsid w:val="00BB105F"/>
    <w:rsid w:val="00BB37CB"/>
    <w:rsid w:val="00BC6CDC"/>
    <w:rsid w:val="00BD42F2"/>
    <w:rsid w:val="00BE1FBA"/>
    <w:rsid w:val="00BE6B2F"/>
    <w:rsid w:val="00BF283F"/>
    <w:rsid w:val="00C34228"/>
    <w:rsid w:val="00C37790"/>
    <w:rsid w:val="00C75BC3"/>
    <w:rsid w:val="00C7764E"/>
    <w:rsid w:val="00C84C3C"/>
    <w:rsid w:val="00C9709A"/>
    <w:rsid w:val="00CA272E"/>
    <w:rsid w:val="00CB083A"/>
    <w:rsid w:val="00CC721B"/>
    <w:rsid w:val="00CD2360"/>
    <w:rsid w:val="00CD5BF3"/>
    <w:rsid w:val="00D10B5D"/>
    <w:rsid w:val="00D16E1C"/>
    <w:rsid w:val="00D25707"/>
    <w:rsid w:val="00D33BB7"/>
    <w:rsid w:val="00D35D12"/>
    <w:rsid w:val="00D404E4"/>
    <w:rsid w:val="00D42D51"/>
    <w:rsid w:val="00D4488F"/>
    <w:rsid w:val="00D47E83"/>
    <w:rsid w:val="00D5443C"/>
    <w:rsid w:val="00D56341"/>
    <w:rsid w:val="00D64E4F"/>
    <w:rsid w:val="00D67B2D"/>
    <w:rsid w:val="00D9755F"/>
    <w:rsid w:val="00DA0F1E"/>
    <w:rsid w:val="00DA1A6B"/>
    <w:rsid w:val="00DB25E9"/>
    <w:rsid w:val="00DB4A16"/>
    <w:rsid w:val="00DC602C"/>
    <w:rsid w:val="00DD3814"/>
    <w:rsid w:val="00DE7C3B"/>
    <w:rsid w:val="00E1374A"/>
    <w:rsid w:val="00E31357"/>
    <w:rsid w:val="00E37725"/>
    <w:rsid w:val="00E5496A"/>
    <w:rsid w:val="00E6714C"/>
    <w:rsid w:val="00E75915"/>
    <w:rsid w:val="00E83F11"/>
    <w:rsid w:val="00EA5047"/>
    <w:rsid w:val="00EB542D"/>
    <w:rsid w:val="00EC2943"/>
    <w:rsid w:val="00EF4DBA"/>
    <w:rsid w:val="00F07531"/>
    <w:rsid w:val="00F07614"/>
    <w:rsid w:val="00F07C8C"/>
    <w:rsid w:val="00F125BF"/>
    <w:rsid w:val="00F17650"/>
    <w:rsid w:val="00F3492C"/>
    <w:rsid w:val="00F5231F"/>
    <w:rsid w:val="00F54276"/>
    <w:rsid w:val="00F61B50"/>
    <w:rsid w:val="00F67FF8"/>
    <w:rsid w:val="00F7235E"/>
    <w:rsid w:val="00F83CFA"/>
    <w:rsid w:val="00F927F8"/>
    <w:rsid w:val="00FA1117"/>
    <w:rsid w:val="00FA1FD3"/>
    <w:rsid w:val="00FA44EA"/>
    <w:rsid w:val="00FA5993"/>
    <w:rsid w:val="00FA5D92"/>
    <w:rsid w:val="00FB3AC6"/>
    <w:rsid w:val="00FB4847"/>
    <w:rsid w:val="00FC18C5"/>
    <w:rsid w:val="00FC66E2"/>
    <w:rsid w:val="00FC67DC"/>
    <w:rsid w:val="00FC7F5A"/>
    <w:rsid w:val="00FD4639"/>
    <w:rsid w:val="00FF0F56"/>
    <w:rsid w:val="00FF531E"/>
    <w:rsid w:val="010268CD"/>
    <w:rsid w:val="0104541E"/>
    <w:rsid w:val="01395B0D"/>
    <w:rsid w:val="015369BF"/>
    <w:rsid w:val="018C215B"/>
    <w:rsid w:val="01BB5F4C"/>
    <w:rsid w:val="021E2189"/>
    <w:rsid w:val="026003DA"/>
    <w:rsid w:val="02BF0820"/>
    <w:rsid w:val="02EE3C38"/>
    <w:rsid w:val="03367AB9"/>
    <w:rsid w:val="03524206"/>
    <w:rsid w:val="038E1A9F"/>
    <w:rsid w:val="04306173"/>
    <w:rsid w:val="045A2A19"/>
    <w:rsid w:val="04767500"/>
    <w:rsid w:val="04955FFE"/>
    <w:rsid w:val="04B50EB1"/>
    <w:rsid w:val="04BF7B0E"/>
    <w:rsid w:val="052A53FB"/>
    <w:rsid w:val="055177E4"/>
    <w:rsid w:val="056E7017"/>
    <w:rsid w:val="05B4731F"/>
    <w:rsid w:val="05BB1410"/>
    <w:rsid w:val="05D138E6"/>
    <w:rsid w:val="070B0086"/>
    <w:rsid w:val="071F40B5"/>
    <w:rsid w:val="083465A4"/>
    <w:rsid w:val="08361F2D"/>
    <w:rsid w:val="08436707"/>
    <w:rsid w:val="087C1794"/>
    <w:rsid w:val="08801E84"/>
    <w:rsid w:val="08804583"/>
    <w:rsid w:val="093078C9"/>
    <w:rsid w:val="096C761C"/>
    <w:rsid w:val="09E0252C"/>
    <w:rsid w:val="0A1664E8"/>
    <w:rsid w:val="0A537267"/>
    <w:rsid w:val="0A564F3A"/>
    <w:rsid w:val="0A5F1331"/>
    <w:rsid w:val="0A84735B"/>
    <w:rsid w:val="0CB80F16"/>
    <w:rsid w:val="0CCB0D45"/>
    <w:rsid w:val="0E4C4192"/>
    <w:rsid w:val="0E5672BA"/>
    <w:rsid w:val="0E5F1A6F"/>
    <w:rsid w:val="0F177A61"/>
    <w:rsid w:val="1010501A"/>
    <w:rsid w:val="10205DFB"/>
    <w:rsid w:val="108005C5"/>
    <w:rsid w:val="10B50226"/>
    <w:rsid w:val="10C100A9"/>
    <w:rsid w:val="10C24FF8"/>
    <w:rsid w:val="114809B7"/>
    <w:rsid w:val="116021A5"/>
    <w:rsid w:val="11A076AB"/>
    <w:rsid w:val="11A31C41"/>
    <w:rsid w:val="11AC4BCE"/>
    <w:rsid w:val="11B8134C"/>
    <w:rsid w:val="11ED1C8A"/>
    <w:rsid w:val="123A3CE4"/>
    <w:rsid w:val="126602F5"/>
    <w:rsid w:val="12B02CB8"/>
    <w:rsid w:val="12C75F0B"/>
    <w:rsid w:val="12F93B7B"/>
    <w:rsid w:val="134A4EBA"/>
    <w:rsid w:val="13531FC1"/>
    <w:rsid w:val="13BF00A3"/>
    <w:rsid w:val="145C6B3D"/>
    <w:rsid w:val="14BA38B4"/>
    <w:rsid w:val="14FC278B"/>
    <w:rsid w:val="15711B35"/>
    <w:rsid w:val="161C6B1C"/>
    <w:rsid w:val="16650F26"/>
    <w:rsid w:val="16E80C72"/>
    <w:rsid w:val="17115AF2"/>
    <w:rsid w:val="17DF0A7D"/>
    <w:rsid w:val="18492F6F"/>
    <w:rsid w:val="1864220D"/>
    <w:rsid w:val="18851CE1"/>
    <w:rsid w:val="19560C13"/>
    <w:rsid w:val="196E3A2B"/>
    <w:rsid w:val="19892AF8"/>
    <w:rsid w:val="19921742"/>
    <w:rsid w:val="19A25A2A"/>
    <w:rsid w:val="1ACE22DA"/>
    <w:rsid w:val="1AFE3188"/>
    <w:rsid w:val="1B630685"/>
    <w:rsid w:val="1B6B7AF1"/>
    <w:rsid w:val="1BA421C0"/>
    <w:rsid w:val="1C961170"/>
    <w:rsid w:val="1D0E6F59"/>
    <w:rsid w:val="1DEB2449"/>
    <w:rsid w:val="1E594203"/>
    <w:rsid w:val="1E9B12B0"/>
    <w:rsid w:val="1E9B1ACC"/>
    <w:rsid w:val="1EEA56C8"/>
    <w:rsid w:val="1F866881"/>
    <w:rsid w:val="1FDC6E9A"/>
    <w:rsid w:val="1FDF7E93"/>
    <w:rsid w:val="20AE4CDA"/>
    <w:rsid w:val="20F03FBB"/>
    <w:rsid w:val="21051FA5"/>
    <w:rsid w:val="21327FDA"/>
    <w:rsid w:val="21B7196D"/>
    <w:rsid w:val="21BE791C"/>
    <w:rsid w:val="222D3B9E"/>
    <w:rsid w:val="22405E06"/>
    <w:rsid w:val="22B6557E"/>
    <w:rsid w:val="22DA593E"/>
    <w:rsid w:val="235B6A7A"/>
    <w:rsid w:val="238F33E0"/>
    <w:rsid w:val="23AD732C"/>
    <w:rsid w:val="23F7286F"/>
    <w:rsid w:val="23FF78C4"/>
    <w:rsid w:val="246A2B4B"/>
    <w:rsid w:val="24D932CD"/>
    <w:rsid w:val="24F84C67"/>
    <w:rsid w:val="25572D06"/>
    <w:rsid w:val="256C05B3"/>
    <w:rsid w:val="257D08EA"/>
    <w:rsid w:val="26B152F0"/>
    <w:rsid w:val="2725381D"/>
    <w:rsid w:val="27484596"/>
    <w:rsid w:val="276B6EB2"/>
    <w:rsid w:val="27B04C99"/>
    <w:rsid w:val="27D350F7"/>
    <w:rsid w:val="27EF4D18"/>
    <w:rsid w:val="27FA1F61"/>
    <w:rsid w:val="27FB1E54"/>
    <w:rsid w:val="28371312"/>
    <w:rsid w:val="287F1177"/>
    <w:rsid w:val="29177195"/>
    <w:rsid w:val="29BE53C4"/>
    <w:rsid w:val="29C76470"/>
    <w:rsid w:val="2A8B4301"/>
    <w:rsid w:val="2ABE5B55"/>
    <w:rsid w:val="2B4A0A64"/>
    <w:rsid w:val="2C106849"/>
    <w:rsid w:val="2C203267"/>
    <w:rsid w:val="2C7024CB"/>
    <w:rsid w:val="2C7768C8"/>
    <w:rsid w:val="2C87127A"/>
    <w:rsid w:val="2D7746A6"/>
    <w:rsid w:val="2DD12008"/>
    <w:rsid w:val="2E040630"/>
    <w:rsid w:val="2E69227F"/>
    <w:rsid w:val="2EB311F4"/>
    <w:rsid w:val="2F2A257E"/>
    <w:rsid w:val="2F750221"/>
    <w:rsid w:val="2F966315"/>
    <w:rsid w:val="2FB61865"/>
    <w:rsid w:val="2FC45366"/>
    <w:rsid w:val="301E2C84"/>
    <w:rsid w:val="305B3635"/>
    <w:rsid w:val="305F2A56"/>
    <w:rsid w:val="30856ED8"/>
    <w:rsid w:val="309444F7"/>
    <w:rsid w:val="30A00087"/>
    <w:rsid w:val="30CE164E"/>
    <w:rsid w:val="30E9572C"/>
    <w:rsid w:val="311B2958"/>
    <w:rsid w:val="311B46BD"/>
    <w:rsid w:val="31266630"/>
    <w:rsid w:val="31702FC4"/>
    <w:rsid w:val="31980D90"/>
    <w:rsid w:val="319C6CC2"/>
    <w:rsid w:val="32B0043D"/>
    <w:rsid w:val="333B1C6F"/>
    <w:rsid w:val="334F7A58"/>
    <w:rsid w:val="33574D5E"/>
    <w:rsid w:val="33E83C08"/>
    <w:rsid w:val="344352E2"/>
    <w:rsid w:val="346D235F"/>
    <w:rsid w:val="34E4156E"/>
    <w:rsid w:val="34E566E5"/>
    <w:rsid w:val="35196932"/>
    <w:rsid w:val="35313E46"/>
    <w:rsid w:val="354457B6"/>
    <w:rsid w:val="357A270E"/>
    <w:rsid w:val="359746D6"/>
    <w:rsid w:val="35AE451E"/>
    <w:rsid w:val="35BF3528"/>
    <w:rsid w:val="35D00DF7"/>
    <w:rsid w:val="368A369C"/>
    <w:rsid w:val="36CB5398"/>
    <w:rsid w:val="36EE2D35"/>
    <w:rsid w:val="37244ABD"/>
    <w:rsid w:val="387168C2"/>
    <w:rsid w:val="393D67A4"/>
    <w:rsid w:val="394F7CBB"/>
    <w:rsid w:val="39F6625B"/>
    <w:rsid w:val="3A26548A"/>
    <w:rsid w:val="3A2762EE"/>
    <w:rsid w:val="3AA90A39"/>
    <w:rsid w:val="3AED5FA8"/>
    <w:rsid w:val="3B31058A"/>
    <w:rsid w:val="3BDB21A7"/>
    <w:rsid w:val="3BF05D4F"/>
    <w:rsid w:val="3C531DA7"/>
    <w:rsid w:val="3C672EA9"/>
    <w:rsid w:val="3C726670"/>
    <w:rsid w:val="3CD77300"/>
    <w:rsid w:val="3D121CF5"/>
    <w:rsid w:val="3D7B5AED"/>
    <w:rsid w:val="3DA24B3E"/>
    <w:rsid w:val="3DCE13C3"/>
    <w:rsid w:val="3E4C3E18"/>
    <w:rsid w:val="3E4C724D"/>
    <w:rsid w:val="3EAF16BF"/>
    <w:rsid w:val="3ED535CA"/>
    <w:rsid w:val="3EF05DD1"/>
    <w:rsid w:val="3EF7278F"/>
    <w:rsid w:val="3F156881"/>
    <w:rsid w:val="3F483C33"/>
    <w:rsid w:val="3F6204BB"/>
    <w:rsid w:val="3F630B65"/>
    <w:rsid w:val="3F8A68DE"/>
    <w:rsid w:val="3FA95A32"/>
    <w:rsid w:val="40251D40"/>
    <w:rsid w:val="403875E9"/>
    <w:rsid w:val="403D7ECA"/>
    <w:rsid w:val="40534AFF"/>
    <w:rsid w:val="408921BC"/>
    <w:rsid w:val="40A207F7"/>
    <w:rsid w:val="40E7661D"/>
    <w:rsid w:val="415326E0"/>
    <w:rsid w:val="42891186"/>
    <w:rsid w:val="42912722"/>
    <w:rsid w:val="42C1451C"/>
    <w:rsid w:val="42DA199B"/>
    <w:rsid w:val="42DF6B1E"/>
    <w:rsid w:val="42E203C1"/>
    <w:rsid w:val="43186E74"/>
    <w:rsid w:val="43282D27"/>
    <w:rsid w:val="438D2869"/>
    <w:rsid w:val="43ED30C6"/>
    <w:rsid w:val="441C0B07"/>
    <w:rsid w:val="442C7B41"/>
    <w:rsid w:val="44DC7A3B"/>
    <w:rsid w:val="44DD506D"/>
    <w:rsid w:val="44EC00A0"/>
    <w:rsid w:val="45392515"/>
    <w:rsid w:val="45640C62"/>
    <w:rsid w:val="46B014A9"/>
    <w:rsid w:val="46B4300F"/>
    <w:rsid w:val="4730459B"/>
    <w:rsid w:val="47CA1B4A"/>
    <w:rsid w:val="47FE6308"/>
    <w:rsid w:val="482401E5"/>
    <w:rsid w:val="4858385C"/>
    <w:rsid w:val="485A70BF"/>
    <w:rsid w:val="485E04E5"/>
    <w:rsid w:val="487148A8"/>
    <w:rsid w:val="48E00F39"/>
    <w:rsid w:val="49504B31"/>
    <w:rsid w:val="498B355B"/>
    <w:rsid w:val="4A241F1C"/>
    <w:rsid w:val="4A3146F5"/>
    <w:rsid w:val="4A85798C"/>
    <w:rsid w:val="4AAE6D82"/>
    <w:rsid w:val="4AB97BC8"/>
    <w:rsid w:val="4BD25472"/>
    <w:rsid w:val="4BE44437"/>
    <w:rsid w:val="4C2E6525"/>
    <w:rsid w:val="4C6312A7"/>
    <w:rsid w:val="4C706209"/>
    <w:rsid w:val="4CC053D7"/>
    <w:rsid w:val="4D2C65C6"/>
    <w:rsid w:val="4D50016E"/>
    <w:rsid w:val="4DC64B62"/>
    <w:rsid w:val="4DE6258E"/>
    <w:rsid w:val="4E700C27"/>
    <w:rsid w:val="4E714036"/>
    <w:rsid w:val="4EB56802"/>
    <w:rsid w:val="4ECA033D"/>
    <w:rsid w:val="4EF672C2"/>
    <w:rsid w:val="4F0C30E0"/>
    <w:rsid w:val="4F173EAA"/>
    <w:rsid w:val="4F240FF1"/>
    <w:rsid w:val="4F330307"/>
    <w:rsid w:val="4F8119BF"/>
    <w:rsid w:val="4FAC2F50"/>
    <w:rsid w:val="4FEB04D3"/>
    <w:rsid w:val="504143E0"/>
    <w:rsid w:val="50467117"/>
    <w:rsid w:val="505158FF"/>
    <w:rsid w:val="50B67B6A"/>
    <w:rsid w:val="50E17F5A"/>
    <w:rsid w:val="51BF639E"/>
    <w:rsid w:val="5237312F"/>
    <w:rsid w:val="525C5A95"/>
    <w:rsid w:val="52734B8D"/>
    <w:rsid w:val="53616C4A"/>
    <w:rsid w:val="53AC32BF"/>
    <w:rsid w:val="53AE29AB"/>
    <w:rsid w:val="53C24CC5"/>
    <w:rsid w:val="541217D8"/>
    <w:rsid w:val="54224ABC"/>
    <w:rsid w:val="5434708B"/>
    <w:rsid w:val="544E54FD"/>
    <w:rsid w:val="547C5F7A"/>
    <w:rsid w:val="54835D9F"/>
    <w:rsid w:val="54A133DF"/>
    <w:rsid w:val="54E05AF5"/>
    <w:rsid w:val="54E149D0"/>
    <w:rsid w:val="54F62AF4"/>
    <w:rsid w:val="55983288"/>
    <w:rsid w:val="55CC1950"/>
    <w:rsid w:val="56762BF6"/>
    <w:rsid w:val="5686591D"/>
    <w:rsid w:val="56BC6B02"/>
    <w:rsid w:val="56FE7AD9"/>
    <w:rsid w:val="598853C1"/>
    <w:rsid w:val="5A8A0D5F"/>
    <w:rsid w:val="5ACB7C5C"/>
    <w:rsid w:val="5B4033EB"/>
    <w:rsid w:val="5B5D653C"/>
    <w:rsid w:val="5B8B3C01"/>
    <w:rsid w:val="5B8C7ECD"/>
    <w:rsid w:val="5BA01768"/>
    <w:rsid w:val="5BB13D97"/>
    <w:rsid w:val="5CD91AC4"/>
    <w:rsid w:val="5CF85DC1"/>
    <w:rsid w:val="5CFA4828"/>
    <w:rsid w:val="5DAD3649"/>
    <w:rsid w:val="5DDE3363"/>
    <w:rsid w:val="5E387907"/>
    <w:rsid w:val="5F2E6734"/>
    <w:rsid w:val="5FB923CE"/>
    <w:rsid w:val="5FF11C2F"/>
    <w:rsid w:val="60200102"/>
    <w:rsid w:val="60676118"/>
    <w:rsid w:val="60845033"/>
    <w:rsid w:val="60D235C8"/>
    <w:rsid w:val="610515BB"/>
    <w:rsid w:val="61834DEC"/>
    <w:rsid w:val="61C73A45"/>
    <w:rsid w:val="61DC2BE6"/>
    <w:rsid w:val="61FC336B"/>
    <w:rsid w:val="62C337F1"/>
    <w:rsid w:val="639B1250"/>
    <w:rsid w:val="63E87A8F"/>
    <w:rsid w:val="64430127"/>
    <w:rsid w:val="64633094"/>
    <w:rsid w:val="64E6511F"/>
    <w:rsid w:val="658172A3"/>
    <w:rsid w:val="65857784"/>
    <w:rsid w:val="65AA682C"/>
    <w:rsid w:val="66183183"/>
    <w:rsid w:val="662159F8"/>
    <w:rsid w:val="664B39FF"/>
    <w:rsid w:val="665F4CD3"/>
    <w:rsid w:val="66835D49"/>
    <w:rsid w:val="66D41C46"/>
    <w:rsid w:val="6776517F"/>
    <w:rsid w:val="678C3529"/>
    <w:rsid w:val="67B64E9E"/>
    <w:rsid w:val="67CB7A65"/>
    <w:rsid w:val="68F70C0C"/>
    <w:rsid w:val="697E40EB"/>
    <w:rsid w:val="69CA09B4"/>
    <w:rsid w:val="6A133149"/>
    <w:rsid w:val="6ADA3701"/>
    <w:rsid w:val="6AFAE5C6"/>
    <w:rsid w:val="6C2B09AA"/>
    <w:rsid w:val="6C5A19C0"/>
    <w:rsid w:val="6C6B6069"/>
    <w:rsid w:val="6CE257EF"/>
    <w:rsid w:val="6CF83784"/>
    <w:rsid w:val="6DCA07C7"/>
    <w:rsid w:val="6E0F17B6"/>
    <w:rsid w:val="6E3B2D1E"/>
    <w:rsid w:val="6E614881"/>
    <w:rsid w:val="6E7B45D6"/>
    <w:rsid w:val="6E964927"/>
    <w:rsid w:val="6F64323A"/>
    <w:rsid w:val="6F7654FA"/>
    <w:rsid w:val="6F7D2FB0"/>
    <w:rsid w:val="6FD607DD"/>
    <w:rsid w:val="6FF0324D"/>
    <w:rsid w:val="70243C79"/>
    <w:rsid w:val="703D620E"/>
    <w:rsid w:val="70452C4B"/>
    <w:rsid w:val="705C3DE1"/>
    <w:rsid w:val="706B7976"/>
    <w:rsid w:val="709517CD"/>
    <w:rsid w:val="70FD7E91"/>
    <w:rsid w:val="712621E1"/>
    <w:rsid w:val="71284C87"/>
    <w:rsid w:val="719647A0"/>
    <w:rsid w:val="71B37626"/>
    <w:rsid w:val="71C87E27"/>
    <w:rsid w:val="71DB5CD2"/>
    <w:rsid w:val="71F65C8E"/>
    <w:rsid w:val="725E0074"/>
    <w:rsid w:val="727B0983"/>
    <w:rsid w:val="72927758"/>
    <w:rsid w:val="72C905A4"/>
    <w:rsid w:val="72DE53F0"/>
    <w:rsid w:val="73B2469E"/>
    <w:rsid w:val="73B37DE8"/>
    <w:rsid w:val="73FEA7CB"/>
    <w:rsid w:val="75AA3A1C"/>
    <w:rsid w:val="761F03B4"/>
    <w:rsid w:val="769D2054"/>
    <w:rsid w:val="76BB24DB"/>
    <w:rsid w:val="771E387A"/>
    <w:rsid w:val="7767024F"/>
    <w:rsid w:val="778341F2"/>
    <w:rsid w:val="77B478DE"/>
    <w:rsid w:val="77E23368"/>
    <w:rsid w:val="78852B0D"/>
    <w:rsid w:val="788B0F2C"/>
    <w:rsid w:val="78CF1AAB"/>
    <w:rsid w:val="78DD2563"/>
    <w:rsid w:val="78FF6245"/>
    <w:rsid w:val="792C08A2"/>
    <w:rsid w:val="79DF450D"/>
    <w:rsid w:val="7A556362"/>
    <w:rsid w:val="7A7B0E61"/>
    <w:rsid w:val="7A8D418E"/>
    <w:rsid w:val="7B395217"/>
    <w:rsid w:val="7B3B18C8"/>
    <w:rsid w:val="7B664282"/>
    <w:rsid w:val="7B730ACD"/>
    <w:rsid w:val="7BFF0746"/>
    <w:rsid w:val="7C1238B1"/>
    <w:rsid w:val="7C5E6EE8"/>
    <w:rsid w:val="7C7E1581"/>
    <w:rsid w:val="7CCE4DB9"/>
    <w:rsid w:val="7CED4C1F"/>
    <w:rsid w:val="7D7C1CCA"/>
    <w:rsid w:val="7DF173AE"/>
    <w:rsid w:val="7DF2233D"/>
    <w:rsid w:val="7E26110C"/>
    <w:rsid w:val="7EC21D1F"/>
    <w:rsid w:val="7F12532B"/>
    <w:rsid w:val="7F917862"/>
    <w:rsid w:val="7FCF7838"/>
    <w:rsid w:val="7FED27A2"/>
    <w:rsid w:val="CDFAFDE1"/>
    <w:rsid w:val="F77B2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Plain Text"/>
    <w:basedOn w:val="1"/>
    <w:autoRedefine/>
    <w:qFormat/>
    <w:uiPriority w:val="0"/>
    <w:rPr>
      <w:rFonts w:ascii="宋体" w:hAnsi="Courier New"/>
      <w:kern w:val="0"/>
      <w:szCs w:val="21"/>
    </w:rPr>
  </w:style>
  <w:style w:type="paragraph" w:styleId="5">
    <w:name w:val="Date"/>
    <w:basedOn w:val="1"/>
    <w:next w:val="1"/>
    <w:link w:val="19"/>
    <w:qFormat/>
    <w:uiPriority w:val="0"/>
    <w:pPr>
      <w:ind w:left="100" w:leftChars="2500"/>
    </w:pPr>
  </w:style>
  <w:style w:type="paragraph" w:styleId="6">
    <w:name w:val="Balloon Text"/>
    <w:basedOn w:val="1"/>
    <w:link w:val="1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3"/>
    <w:next w:val="3"/>
    <w:link w:val="16"/>
    <w:autoRedefine/>
    <w:qFormat/>
    <w:uiPriority w:val="0"/>
    <w:rPr>
      <w:b/>
      <w:bCs/>
    </w:rPr>
  </w:style>
  <w:style w:type="character" w:styleId="12">
    <w:name w:val="Strong"/>
    <w:basedOn w:val="11"/>
    <w:qFormat/>
    <w:uiPriority w:val="0"/>
    <w:rPr>
      <w:b/>
    </w:rPr>
  </w:style>
  <w:style w:type="character" w:styleId="13">
    <w:name w:val="annotation reference"/>
    <w:basedOn w:val="11"/>
    <w:autoRedefine/>
    <w:qFormat/>
    <w:uiPriority w:val="0"/>
    <w:rPr>
      <w:sz w:val="21"/>
      <w:szCs w:val="21"/>
    </w:rPr>
  </w:style>
  <w:style w:type="character" w:customStyle="1" w:styleId="14">
    <w:name w:val="批注框文本字符"/>
    <w:basedOn w:val="11"/>
    <w:link w:val="6"/>
    <w:autoRedefine/>
    <w:qFormat/>
    <w:uiPriority w:val="0"/>
    <w:rPr>
      <w:kern w:val="2"/>
      <w:sz w:val="18"/>
      <w:szCs w:val="18"/>
    </w:rPr>
  </w:style>
  <w:style w:type="character" w:customStyle="1" w:styleId="15">
    <w:name w:val="批注文字字符"/>
    <w:basedOn w:val="11"/>
    <w:link w:val="3"/>
    <w:autoRedefine/>
    <w:qFormat/>
    <w:uiPriority w:val="0"/>
    <w:rPr>
      <w:kern w:val="2"/>
      <w:sz w:val="21"/>
      <w:szCs w:val="24"/>
    </w:rPr>
  </w:style>
  <w:style w:type="character" w:customStyle="1" w:styleId="16">
    <w:name w:val="批注主题字符"/>
    <w:basedOn w:val="15"/>
    <w:link w:val="9"/>
    <w:autoRedefine/>
    <w:qFormat/>
    <w:uiPriority w:val="0"/>
    <w:rPr>
      <w:b/>
      <w:bCs/>
      <w:kern w:val="2"/>
      <w:sz w:val="21"/>
      <w:szCs w:val="24"/>
    </w:rPr>
  </w:style>
  <w:style w:type="paragraph" w:styleId="17">
    <w:name w:val="List Paragraph"/>
    <w:basedOn w:val="1"/>
    <w:autoRedefine/>
    <w:unhideWhenUsed/>
    <w:qFormat/>
    <w:uiPriority w:val="99"/>
    <w:pPr>
      <w:ind w:firstLine="420" w:firstLineChars="200"/>
    </w:pPr>
  </w:style>
  <w:style w:type="paragraph" w:customStyle="1" w:styleId="18">
    <w:name w:val="Revision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日期字符"/>
    <w:basedOn w:val="11"/>
    <w:link w:val="5"/>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7015</Words>
  <Characters>7246</Characters>
  <Lines>53</Lines>
  <Paragraphs>15</Paragraphs>
  <TotalTime>264</TotalTime>
  <ScaleCrop>false</ScaleCrop>
  <LinksUpToDate>false</LinksUpToDate>
  <CharactersWithSpaces>7637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2024-11-13T12:06:00Z</dcterms:created>
  <dc:creator>大隐洪范</dc:creator>
  <cp:lastModifiedBy>wan</cp:lastModifiedBy>
  <cp:lastPrinted>2025-06-06T03:18:00Z</cp:lastPrinted>
  <dcterms:modified xsi:type="dcterms:W3CDTF">2025-07-07T08:26:25Z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2F97CB81241748DB957433CA63FD4B49_13</vt:lpwstr>
  </property>
  <property fmtid="{D5CDD505-2E9C-101B-9397-08002B2CF9AE}" pid="4" name="KSOTemplateDocerSaveRecord">
    <vt:lpwstr>eyJoZGlkIjoiZDIyOTQyMDE3NTA0ZTJjYmM1YmE0MjczN2NlMTNkMTQiLCJ1c2VySWQiOiI0MTg0MTQzNTkifQ==</vt:lpwstr>
  </property>
</Properties>
</file>